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BA" w:rsidRDefault="008D18EC">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 xml:space="preserve">Next Steps Document- Kindergarten, Cluster 7 </w:t>
      </w:r>
    </w:p>
    <w:p w:rsidR="008902BA" w:rsidRDefault="008D18EC" w:rsidP="00BB32D5">
      <w:pPr>
        <w:pBdr>
          <w:top w:val="nil"/>
          <w:left w:val="nil"/>
          <w:bottom w:val="nil"/>
          <w:right w:val="nil"/>
          <w:between w:val="nil"/>
        </w:pBdr>
        <w:tabs>
          <w:tab w:val="left" w:pos="180"/>
        </w:tabs>
        <w:ind w:left="18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w:t>
      </w:r>
      <w:r>
        <w:rPr>
          <w:rFonts w:ascii="Times New Roman" w:eastAsia="Times New Roman" w:hAnsi="Times New Roman" w:cs="Times New Roman"/>
          <w:color w:val="000000"/>
        </w:rPr>
        <w:t>st of strategies.</w:t>
      </w:r>
    </w:p>
    <w:tbl>
      <w:tblPr>
        <w:tblStyle w:val="a"/>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820"/>
      </w:tblGrid>
      <w:tr w:rsidR="008902BA" w:rsidTr="00BB32D5">
        <w:tc>
          <w:tcPr>
            <w:tcW w:w="9540" w:type="dxa"/>
            <w:gridSpan w:val="2"/>
            <w:shd w:val="clear" w:color="auto" w:fill="6EE5E8"/>
          </w:tcPr>
          <w:p w:rsidR="008902BA" w:rsidRDefault="008D18EC">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Kindergarten: Cluster 7 </w:t>
            </w:r>
          </w:p>
          <w:p w:rsidR="008902BA" w:rsidRDefault="008D18EC">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Foundations of Place Value </w:t>
            </w:r>
          </w:p>
        </w:tc>
      </w:tr>
      <w:tr w:rsidR="008902BA" w:rsidTr="00BB32D5">
        <w:tc>
          <w:tcPr>
            <w:tcW w:w="9540" w:type="dxa"/>
            <w:gridSpan w:val="2"/>
          </w:tcPr>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NC.K.NBT.1 Compose and decompose numbers from 11 to 19 into ten ones and some further ones by: </w:t>
            </w:r>
          </w:p>
          <w:p w:rsidR="008902BA" w:rsidRDefault="008D18EC">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Using objects or drawings </w:t>
            </w:r>
          </w:p>
          <w:p w:rsidR="008902BA" w:rsidRDefault="008D18EC">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Recording each composition or decomposition by a drawing OR expression </w:t>
            </w:r>
          </w:p>
          <w:p w:rsidR="008902BA" w:rsidRDefault="008D18EC">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Understanding that these numbers are composed of ten ones and one, two, three, four, five, six, seven, eight, or nine ones. </w:t>
            </w:r>
          </w:p>
          <w:p w:rsidR="008902BA" w:rsidRDefault="008902BA">
            <w:pPr>
              <w:pBdr>
                <w:top w:val="nil"/>
                <w:left w:val="nil"/>
                <w:bottom w:val="nil"/>
                <w:right w:val="nil"/>
                <w:between w:val="nil"/>
              </w:pBdr>
              <w:rPr>
                <w:rFonts w:ascii="Times New Roman" w:eastAsia="Times New Roman" w:hAnsi="Times New Roman" w:cs="Times New Roman"/>
                <w:b/>
              </w:rPr>
            </w:pPr>
          </w:p>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NC.K.OA.3 Decompose numbers less than or equal to 10 i</w:t>
            </w:r>
            <w:r>
              <w:rPr>
                <w:rFonts w:ascii="Times New Roman" w:eastAsia="Times New Roman" w:hAnsi="Times New Roman" w:cs="Times New Roman"/>
                <w:b/>
              </w:rPr>
              <w:t xml:space="preserve">nto pairs in more than one way using objects or drawings, and record each decomposition by a drawing or expression. </w:t>
            </w:r>
          </w:p>
          <w:p w:rsidR="008902BA" w:rsidRDefault="008902BA">
            <w:pPr>
              <w:pBdr>
                <w:top w:val="nil"/>
                <w:left w:val="nil"/>
                <w:bottom w:val="nil"/>
                <w:right w:val="nil"/>
                <w:between w:val="nil"/>
              </w:pBdr>
              <w:rPr>
                <w:rFonts w:ascii="Times New Roman" w:eastAsia="Times New Roman" w:hAnsi="Times New Roman" w:cs="Times New Roman"/>
                <w:b/>
              </w:rPr>
            </w:pPr>
          </w:p>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NC.K.OA.4 For any number from 0 to 10, find the number that makes 10 when added to the given number using objects or drawings, and record </w:t>
            </w:r>
            <w:r>
              <w:rPr>
                <w:rFonts w:ascii="Times New Roman" w:eastAsia="Times New Roman" w:hAnsi="Times New Roman" w:cs="Times New Roman"/>
                <w:b/>
              </w:rPr>
              <w:t xml:space="preserve">the answer with a drawing or expression. </w:t>
            </w:r>
          </w:p>
          <w:p w:rsidR="008902BA" w:rsidRDefault="008902BA">
            <w:pPr>
              <w:pBdr>
                <w:top w:val="nil"/>
                <w:left w:val="nil"/>
                <w:bottom w:val="nil"/>
                <w:right w:val="nil"/>
                <w:between w:val="nil"/>
              </w:pBdr>
              <w:rPr>
                <w:rFonts w:ascii="Times New Roman" w:eastAsia="Times New Roman" w:hAnsi="Times New Roman" w:cs="Times New Roman"/>
                <w:b/>
              </w:rPr>
            </w:pPr>
          </w:p>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NC.K.OA.5 Demonstrate fluency with addition and subtraction within 5.</w:t>
            </w:r>
          </w:p>
        </w:tc>
      </w:tr>
      <w:tr w:rsidR="008902BA" w:rsidTr="00BB32D5">
        <w:trPr>
          <w:trHeight w:val="900"/>
        </w:trPr>
        <w:tc>
          <w:tcPr>
            <w:tcW w:w="720" w:type="dxa"/>
            <w:vMerge w:val="restart"/>
            <w:shd w:val="clear" w:color="auto" w:fill="F2FCFC"/>
          </w:tcPr>
          <w:p w:rsidR="008902BA" w:rsidRDefault="008D18EC">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jc w:val="center"/>
              <w:rPr>
                <w:rFonts w:ascii="Times New Roman" w:eastAsia="Times New Roman" w:hAnsi="Times New Roman" w:cs="Times New Roman"/>
                <w:b/>
              </w:rPr>
            </w:pPr>
          </w:p>
          <w:p w:rsidR="008902BA" w:rsidRDefault="008902BA">
            <w:pPr>
              <w:rPr>
                <w:rFonts w:ascii="Times New Roman" w:eastAsia="Times New Roman" w:hAnsi="Times New Roman" w:cs="Times New Roman"/>
                <w:b/>
              </w:rPr>
            </w:pPr>
          </w:p>
        </w:tc>
        <w:tc>
          <w:tcPr>
            <w:tcW w:w="8820" w:type="dxa"/>
            <w:tcBorders>
              <w:top w:val="nil"/>
            </w:tcBorders>
            <w:shd w:val="clear" w:color="auto" w:fill="F2FCFC"/>
          </w:tcPr>
          <w:p w:rsidR="008902BA" w:rsidRDefault="008D18EC">
            <w:pPr>
              <w:tabs>
                <w:tab w:val="left" w:pos="1646"/>
              </w:tabs>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“Not Yet” could have a variety of errors. These errors may </w:t>
            </w:r>
            <w:r>
              <w:rPr>
                <w:rFonts w:ascii="Times New Roman" w:eastAsia="Times New Roman" w:hAnsi="Times New Roman" w:cs="Times New Roman"/>
                <w:b/>
              </w:rPr>
              <w:t xml:space="preserve">include not being able to decompose numbers within 5 or a lack of fluency with addition or subtraction with numbers larger than 2.  </w:t>
            </w:r>
          </w:p>
        </w:tc>
      </w:tr>
      <w:tr w:rsidR="008902BA" w:rsidTr="00BB32D5">
        <w:trPr>
          <w:trHeight w:val="2960"/>
        </w:trPr>
        <w:tc>
          <w:tcPr>
            <w:tcW w:w="720" w:type="dxa"/>
            <w:vMerge/>
            <w:shd w:val="clear" w:color="auto" w:fill="F2FCFC"/>
          </w:tcPr>
          <w:p w:rsidR="008902BA" w:rsidRDefault="008902BA">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820" w:type="dxa"/>
          </w:tcPr>
          <w:p w:rsidR="008902BA" w:rsidRDefault="008D18EC">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color w:val="000000"/>
                <w:u w:val="single"/>
              </w:rPr>
              <w:t>Next Steps:</w:t>
            </w:r>
          </w:p>
          <w:p w:rsidR="008902BA" w:rsidRDefault="008D18EC">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cannot count a set of 19 objects (foundational for K.NBT.1):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Remind them to move counters one at a time as they count. Work with students to ensure that they are demonstrating tagging and one-to-one correspondence.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count obje</w:t>
            </w:r>
            <w:r>
              <w:rPr>
                <w:rFonts w:ascii="Times New Roman" w:eastAsia="Times New Roman" w:hAnsi="Times New Roman" w:cs="Times New Roman"/>
              </w:rPr>
              <w:t>cts by placing counters/cubes on a number path or 20s chart (hundreds board with only numbers 1 to 20. Number paths and 20s chart are good resources since they include each written numeral which helps students to keep track of the number of objects they ha</w:t>
            </w:r>
            <w:r>
              <w:rPr>
                <w:rFonts w:ascii="Times New Roman" w:eastAsia="Times New Roman" w:hAnsi="Times New Roman" w:cs="Times New Roman"/>
              </w:rPr>
              <w:t xml:space="preserve">ve. </w:t>
            </w:r>
          </w:p>
          <w:p w:rsidR="008902BA" w:rsidRDefault="008902BA">
            <w:pPr>
              <w:shd w:val="clear" w:color="auto" w:fill="FFFFFF"/>
              <w:rPr>
                <w:rFonts w:ascii="Times New Roman" w:eastAsia="Times New Roman" w:hAnsi="Times New Roman" w:cs="Times New Roman"/>
              </w:rPr>
            </w:pPr>
          </w:p>
          <w:p w:rsidR="008902BA" w:rsidRDefault="008D18EC">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cannot decompose numbers within 5 (K.OA.3, K.OA.4):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Snap It: Students start with a set number of multi-link cubes connected (e.g., 5 cubes). Students put it behind their back and snap it into 2 smaller pieces. One piece they look at</w:t>
            </w:r>
            <w:r>
              <w:rPr>
                <w:rFonts w:ascii="Times New Roman" w:eastAsia="Times New Roman" w:hAnsi="Times New Roman" w:cs="Times New Roman"/>
              </w:rPr>
              <w:t xml:space="preserve">. They then </w:t>
            </w:r>
            <w:r>
              <w:rPr>
                <w:rFonts w:ascii="Times New Roman" w:eastAsia="Times New Roman" w:hAnsi="Times New Roman" w:cs="Times New Roman"/>
              </w:rPr>
              <w:t xml:space="preserve">determine how many cubes are in the </w:t>
            </w:r>
            <w:r w:rsidR="00BB32D5">
              <w:rPr>
                <w:rFonts w:ascii="Times New Roman" w:eastAsia="Times New Roman" w:hAnsi="Times New Roman" w:cs="Times New Roman"/>
              </w:rPr>
              <w:t>part</w:t>
            </w:r>
            <w:r>
              <w:rPr>
                <w:rFonts w:ascii="Times New Roman" w:eastAsia="Times New Roman" w:hAnsi="Times New Roman" w:cs="Times New Roman"/>
              </w:rPr>
              <w:t xml:space="preserve"> </w:t>
            </w:r>
            <w:r>
              <w:rPr>
                <w:rFonts w:ascii="Times New Roman" w:eastAsia="Times New Roman" w:hAnsi="Times New Roman" w:cs="Times New Roman"/>
              </w:rPr>
              <w:t xml:space="preserve">they cannot see. </w:t>
            </w: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BB32D5" w:rsidRDefault="00BB32D5" w:rsidP="00BB32D5">
            <w:pPr>
              <w:shd w:val="clear" w:color="auto" w:fill="FFFFFF"/>
              <w:rPr>
                <w:rFonts w:ascii="Times New Roman" w:eastAsia="Times New Roman" w:hAnsi="Times New Roman" w:cs="Times New Roman"/>
              </w:rPr>
            </w:pP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On the Plate: Students drop a set number of counters onto a paper plate that has a line drawn down the middle of it. Students count the number of counters on each side of t</w:t>
            </w:r>
            <w:r>
              <w:rPr>
                <w:rFonts w:ascii="Times New Roman" w:eastAsia="Times New Roman" w:hAnsi="Times New Roman" w:cs="Times New Roman"/>
              </w:rPr>
              <w:t xml:space="preserve">he plate then record it on a recording sheet or their math journal. </w:t>
            </w:r>
          </w:p>
          <w:tbl>
            <w:tblPr>
              <w:tblStyle w:val="a0"/>
              <w:tblW w:w="264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05"/>
            </w:tblGrid>
            <w:tr w:rsidR="008902BA">
              <w:tc>
                <w:tcPr>
                  <w:tcW w:w="133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Left side</w:t>
                  </w:r>
                </w:p>
              </w:tc>
              <w:tc>
                <w:tcPr>
                  <w:tcW w:w="130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Right side </w:t>
                  </w:r>
                </w:p>
              </w:tc>
            </w:tr>
            <w:tr w:rsidR="008902BA">
              <w:tc>
                <w:tcPr>
                  <w:tcW w:w="133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130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r>
            <w:tr w:rsidR="008902BA">
              <w:tc>
                <w:tcPr>
                  <w:tcW w:w="133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1305"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r>
            <w:tr w:rsidR="008902BA">
              <w:trPr>
                <w:trHeight w:val="240"/>
              </w:trPr>
              <w:tc>
                <w:tcPr>
                  <w:tcW w:w="1335" w:type="dxa"/>
                  <w:shd w:val="clear" w:color="auto" w:fill="auto"/>
                  <w:tcMar>
                    <w:top w:w="100" w:type="dxa"/>
                    <w:left w:w="100" w:type="dxa"/>
                    <w:bottom w:w="100" w:type="dxa"/>
                    <w:right w:w="100" w:type="dxa"/>
                  </w:tcMar>
                </w:tcPr>
                <w:p w:rsidR="008902BA" w:rsidRDefault="008902BA">
                  <w:pPr>
                    <w:widowControl w:val="0"/>
                    <w:pBdr>
                      <w:top w:val="nil"/>
                      <w:left w:val="nil"/>
                      <w:bottom w:val="nil"/>
                      <w:right w:val="nil"/>
                      <w:between w:val="nil"/>
                    </w:pBdr>
                    <w:rPr>
                      <w:rFonts w:ascii="Times New Roman" w:eastAsia="Times New Roman" w:hAnsi="Times New Roman" w:cs="Times New Roman"/>
                    </w:rPr>
                  </w:pPr>
                </w:p>
              </w:tc>
              <w:tc>
                <w:tcPr>
                  <w:tcW w:w="1305" w:type="dxa"/>
                  <w:shd w:val="clear" w:color="auto" w:fill="auto"/>
                  <w:tcMar>
                    <w:top w:w="100" w:type="dxa"/>
                    <w:left w:w="100" w:type="dxa"/>
                    <w:bottom w:w="100" w:type="dxa"/>
                    <w:right w:w="100" w:type="dxa"/>
                  </w:tcMar>
                </w:tcPr>
                <w:p w:rsidR="008902BA" w:rsidRDefault="008902BA">
                  <w:pPr>
                    <w:widowControl w:val="0"/>
                    <w:pBdr>
                      <w:top w:val="nil"/>
                      <w:left w:val="nil"/>
                      <w:bottom w:val="nil"/>
                      <w:right w:val="nil"/>
                      <w:between w:val="nil"/>
                    </w:pBdr>
                    <w:rPr>
                      <w:rFonts w:ascii="Times New Roman" w:eastAsia="Times New Roman" w:hAnsi="Times New Roman" w:cs="Times New Roman"/>
                    </w:rPr>
                  </w:pPr>
                </w:p>
              </w:tc>
            </w:tr>
          </w:tbl>
          <w:p w:rsidR="008902BA" w:rsidRDefault="008902BA">
            <w:pPr>
              <w:shd w:val="clear" w:color="auto" w:fill="FFFFFF"/>
              <w:rPr>
                <w:rFonts w:ascii="Times New Roman" w:eastAsia="Times New Roman" w:hAnsi="Times New Roman" w:cs="Times New Roman"/>
              </w:rPr>
            </w:pPr>
          </w:p>
        </w:tc>
      </w:tr>
    </w:tbl>
    <w:p w:rsidR="008902BA" w:rsidRDefault="008902BA"/>
    <w:tbl>
      <w:tblPr>
        <w:tblStyle w:val="a1"/>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0"/>
      </w:tblGrid>
      <w:tr w:rsidR="008902BA" w:rsidTr="00BB32D5">
        <w:trPr>
          <w:trHeight w:val="1000"/>
        </w:trPr>
        <w:tc>
          <w:tcPr>
            <w:tcW w:w="1440" w:type="dxa"/>
            <w:vMerge w:val="restart"/>
            <w:tcBorders>
              <w:right w:val="single" w:sz="4" w:space="0" w:color="000000"/>
            </w:tcBorders>
            <w:shd w:val="clear" w:color="auto" w:fill="F2FCFC"/>
          </w:tcPr>
          <w:p w:rsidR="008902BA" w:rsidRDefault="008D18EC">
            <w:pPr>
              <w:rPr>
                <w:rFonts w:ascii="Times New Roman" w:eastAsia="Times New Roman" w:hAnsi="Times New Roman" w:cs="Times New Roman"/>
                <w:b/>
              </w:rPr>
            </w:pPr>
            <w:r>
              <w:rPr>
                <w:rFonts w:ascii="Times New Roman" w:eastAsia="Times New Roman" w:hAnsi="Times New Roman" w:cs="Times New Roman"/>
                <w:b/>
              </w:rPr>
              <w:t>Progressing</w:t>
            </w:r>
          </w:p>
          <w:p w:rsidR="008902BA" w:rsidRDefault="008D18EC">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100" w:type="dxa"/>
            <w:tcBorders>
              <w:left w:val="single" w:sz="4" w:space="0" w:color="000000"/>
            </w:tcBorders>
            <w:shd w:val="clear" w:color="auto" w:fill="F2FCFC"/>
          </w:tcPr>
          <w:p w:rsidR="008902BA" w:rsidRDefault="008D18EC">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“Progressing” may demonstrate confusion with consistently decomposing teen numbers. They may also struggle consistently demonstrating how to decompose numbers within 10. </w:t>
            </w:r>
          </w:p>
        </w:tc>
      </w:tr>
      <w:tr w:rsidR="008902BA" w:rsidTr="00BB32D5">
        <w:trPr>
          <w:trHeight w:val="3500"/>
        </w:trPr>
        <w:tc>
          <w:tcPr>
            <w:tcW w:w="1440" w:type="dxa"/>
            <w:vMerge/>
            <w:tcBorders>
              <w:right w:val="single" w:sz="4" w:space="0" w:color="000000"/>
            </w:tcBorders>
            <w:shd w:val="clear" w:color="auto" w:fill="F2FCFC"/>
          </w:tcPr>
          <w:p w:rsidR="008902BA" w:rsidRDefault="008902BA">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100" w:type="dxa"/>
            <w:tcBorders>
              <w:left w:val="single" w:sz="4" w:space="0" w:color="000000"/>
            </w:tcBorders>
          </w:tcPr>
          <w:p w:rsidR="008902BA" w:rsidRDefault="008D18EC">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can count a set of 19 objec</w:t>
            </w:r>
            <w:r>
              <w:rPr>
                <w:rFonts w:ascii="Times New Roman" w:eastAsia="Times New Roman" w:hAnsi="Times New Roman" w:cs="Times New Roman"/>
                <w:b/>
              </w:rPr>
              <w:t xml:space="preserve">ts but are unable to decompose a teen number accurately into a group of 10 and leftovers (K.NBT.1):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build teen numbers with counters/cubes and a double ten frame. Discuss with them that a completely filled in ten fram</w:t>
            </w:r>
            <w:r>
              <w:rPr>
                <w:rFonts w:ascii="Times New Roman" w:eastAsia="Times New Roman" w:hAnsi="Times New Roman" w:cs="Times New Roman"/>
              </w:rPr>
              <w:t>e is always a group of ten and the ten frame not filled in includes leftovers or ones. For example, a double ten frame with a completely filled in ten frame and 6 counters in the other ten frame would be a group of 10 and 6 ones which could be written as “</w:t>
            </w:r>
            <w:r>
              <w:rPr>
                <w:rFonts w:ascii="Times New Roman" w:eastAsia="Times New Roman" w:hAnsi="Times New Roman" w:cs="Times New Roman"/>
              </w:rPr>
              <w:t xml:space="preserve">10 joined with 6” or 16.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Build it, Change it: Teen Numbers. Students need teen number cards with the numbers 10-19 written on them. Students draw a card and build that number with cubes/counters on the double ten frame. Students then draw another card and change the number of cube</w:t>
            </w:r>
            <w:r>
              <w:rPr>
                <w:rFonts w:ascii="Times New Roman" w:eastAsia="Times New Roman" w:hAnsi="Times New Roman" w:cs="Times New Roman"/>
              </w:rPr>
              <w:t xml:space="preserve">s/counters by removing or adding more cubes/counters.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Lessons: </w:t>
            </w:r>
            <w:hyperlink r:id="rId7">
              <w:r>
                <w:rPr>
                  <w:rFonts w:ascii="Times New Roman" w:eastAsia="Times New Roman" w:hAnsi="Times New Roman" w:cs="Times New Roman"/>
                  <w:color w:val="1155CC"/>
                  <w:u w:val="single"/>
                </w:rPr>
                <w:t>Building Teen Numbers</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On and Off the Ten Frame</w:t>
              </w:r>
            </w:hyperlink>
            <w:r>
              <w:rPr>
                <w:rFonts w:ascii="Times New Roman" w:eastAsia="Times New Roman" w:hAnsi="Times New Roman" w:cs="Times New Roman"/>
              </w:rPr>
              <w:t xml:space="preserve">, </w:t>
            </w:r>
            <w:hyperlink r:id="rId9">
              <w:r>
                <w:rPr>
                  <w:rFonts w:ascii="Times New Roman" w:eastAsia="Times New Roman" w:hAnsi="Times New Roman" w:cs="Times New Roman"/>
                  <w:color w:val="1155CC"/>
                  <w:u w:val="single"/>
                </w:rPr>
                <w:t>Ring Around the Tens</w:t>
              </w:r>
            </w:hyperlink>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 xml:space="preserve">nstructional and Assessment Tasks: </w:t>
            </w:r>
            <w:hyperlink r:id="rId10">
              <w:r>
                <w:rPr>
                  <w:rFonts w:ascii="Times New Roman" w:eastAsia="Times New Roman" w:hAnsi="Times New Roman" w:cs="Times New Roman"/>
                  <w:color w:val="1155CC"/>
                  <w:u w:val="single"/>
                </w:rPr>
                <w:t>Counting Apples</w:t>
              </w:r>
            </w:hyperlink>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Tools4NCTeachers </w:t>
            </w:r>
            <w:hyperlink r:id="rId11">
              <w:r>
                <w:rPr>
                  <w:rFonts w:ascii="Times New Roman" w:eastAsia="Times New Roman" w:hAnsi="Times New Roman" w:cs="Times New Roman"/>
                  <w:color w:val="1155CC"/>
                  <w:u w:val="single"/>
                </w:rPr>
                <w:t>Math Centers</w:t>
              </w:r>
            </w:hyperlink>
          </w:p>
          <w:p w:rsidR="008902BA" w:rsidRDefault="008902BA">
            <w:pPr>
              <w:shd w:val="clear" w:color="auto" w:fill="FFFFFF"/>
              <w:rPr>
                <w:rFonts w:ascii="Times New Roman" w:eastAsia="Times New Roman" w:hAnsi="Times New Roman" w:cs="Times New Roman"/>
              </w:rPr>
            </w:pPr>
          </w:p>
          <w:p w:rsidR="008902BA" w:rsidRDefault="008D18EC">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cannot decompose numbers within 10 (K.OA.3, K.OA.4):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Snap It: Students start with a set number of multi-link cubes connected (e.g., 9 cubes). Students put it behind their back and snap </w:t>
            </w:r>
            <w:r>
              <w:rPr>
                <w:rFonts w:ascii="Times New Roman" w:eastAsia="Times New Roman" w:hAnsi="Times New Roman" w:cs="Times New Roman"/>
              </w:rPr>
              <w:t xml:space="preserve">it into 2 smaller pieces. One piece they look at. They then try to determine how many cubes are in the piece that they cannot see.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On the Plate: Students drop a set number of counters onto a paper plate that has a line drawn down the middle of it. Student</w:t>
            </w:r>
            <w:r>
              <w:rPr>
                <w:rFonts w:ascii="Times New Roman" w:eastAsia="Times New Roman" w:hAnsi="Times New Roman" w:cs="Times New Roman"/>
              </w:rPr>
              <w:t xml:space="preserve">s count the number of counters on each side of the plate then record it on a recording sheet or their math journal. </w:t>
            </w:r>
          </w:p>
          <w:tbl>
            <w:tblPr>
              <w:tblStyle w:val="a2"/>
              <w:tblW w:w="2850"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455"/>
            </w:tblGrid>
            <w:tr w:rsidR="008902BA">
              <w:tc>
                <w:tcPr>
                  <w:tcW w:w="139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b/>
                    </w:rPr>
                  </w:pPr>
                  <w:r>
                    <w:rPr>
                      <w:rFonts w:ascii="Times New Roman" w:eastAsia="Times New Roman" w:hAnsi="Times New Roman" w:cs="Times New Roman"/>
                      <w:b/>
                    </w:rPr>
                    <w:t>Left side</w:t>
                  </w:r>
                </w:p>
              </w:tc>
              <w:tc>
                <w:tcPr>
                  <w:tcW w:w="145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b/>
                    </w:rPr>
                  </w:pPr>
                  <w:r>
                    <w:rPr>
                      <w:rFonts w:ascii="Times New Roman" w:eastAsia="Times New Roman" w:hAnsi="Times New Roman" w:cs="Times New Roman"/>
                      <w:b/>
                    </w:rPr>
                    <w:t xml:space="preserve">Right side </w:t>
                  </w:r>
                </w:p>
              </w:tc>
            </w:tr>
            <w:tr w:rsidR="008902BA">
              <w:tc>
                <w:tcPr>
                  <w:tcW w:w="139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t>8</w:t>
                  </w:r>
                </w:p>
              </w:tc>
              <w:tc>
                <w:tcPr>
                  <w:tcW w:w="145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t>1</w:t>
                  </w:r>
                </w:p>
              </w:tc>
            </w:tr>
            <w:tr w:rsidR="008902BA">
              <w:tc>
                <w:tcPr>
                  <w:tcW w:w="139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t>3</w:t>
                  </w:r>
                </w:p>
              </w:tc>
              <w:tc>
                <w:tcPr>
                  <w:tcW w:w="145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t>6</w:t>
                  </w:r>
                </w:p>
              </w:tc>
            </w:tr>
            <w:tr w:rsidR="008902BA">
              <w:tc>
                <w:tcPr>
                  <w:tcW w:w="139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lastRenderedPageBreak/>
                    <w:t>4</w:t>
                  </w:r>
                </w:p>
              </w:tc>
              <w:tc>
                <w:tcPr>
                  <w:tcW w:w="1455" w:type="dxa"/>
                  <w:shd w:val="clear" w:color="auto" w:fill="auto"/>
                  <w:tcMar>
                    <w:top w:w="100" w:type="dxa"/>
                    <w:left w:w="100" w:type="dxa"/>
                    <w:bottom w:w="100" w:type="dxa"/>
                    <w:right w:w="100" w:type="dxa"/>
                  </w:tcMar>
                </w:tcPr>
                <w:p w:rsidR="008902BA" w:rsidRDefault="008D18EC">
                  <w:pPr>
                    <w:widowControl w:val="0"/>
                    <w:rPr>
                      <w:rFonts w:ascii="Times New Roman" w:eastAsia="Times New Roman" w:hAnsi="Times New Roman" w:cs="Times New Roman"/>
                    </w:rPr>
                  </w:pPr>
                  <w:r>
                    <w:rPr>
                      <w:rFonts w:ascii="Times New Roman" w:eastAsia="Times New Roman" w:hAnsi="Times New Roman" w:cs="Times New Roman"/>
                    </w:rPr>
                    <w:t>5</w:t>
                  </w:r>
                </w:p>
              </w:tc>
            </w:tr>
          </w:tbl>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Lessons: </w:t>
            </w:r>
            <w:hyperlink r:id="rId12">
              <w:r>
                <w:rPr>
                  <w:rFonts w:ascii="Times New Roman" w:eastAsia="Times New Roman" w:hAnsi="Times New Roman" w:cs="Times New Roman"/>
                  <w:color w:val="1155CC"/>
                  <w:u w:val="single"/>
                </w:rPr>
                <w:t>Addie’s Tower</w:t>
              </w:r>
            </w:hyperlink>
          </w:p>
          <w:p w:rsidR="008902BA" w:rsidRDefault="008D18EC">
            <w:pPr>
              <w:numPr>
                <w:ilvl w:val="0"/>
                <w:numId w:val="1"/>
              </w:numPr>
              <w:shd w:val="clear" w:color="auto" w:fill="FFFFFF"/>
              <w:rPr>
                <w:rFonts w:ascii="Times New Roman" w:eastAsia="Times New Roman" w:hAnsi="Times New Roman" w:cs="Times New Roman"/>
              </w:rPr>
            </w:pPr>
            <w:hyperlink r:id="rId13">
              <w:r>
                <w:rPr>
                  <w:rFonts w:ascii="Times New Roman" w:eastAsia="Times New Roman" w:hAnsi="Times New Roman" w:cs="Times New Roman"/>
                  <w:color w:val="1155CC"/>
                  <w:u w:val="single"/>
                </w:rPr>
                <w:t>Instructional and Assessment Tasks for Making Ten</w:t>
              </w:r>
            </w:hyperlink>
            <w:r>
              <w:rPr>
                <w:rFonts w:ascii="Times New Roman" w:eastAsia="Times New Roman" w:hAnsi="Times New Roman" w:cs="Times New Roman"/>
              </w:rPr>
              <w:t xml:space="preserve"> (middle colum</w:t>
            </w:r>
            <w:r>
              <w:rPr>
                <w:rFonts w:ascii="Times New Roman" w:eastAsia="Times New Roman" w:hAnsi="Times New Roman" w:cs="Times New Roman"/>
              </w:rPr>
              <w:t>n)</w:t>
            </w:r>
            <w:hyperlink r:id="rId14">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rPr>
              <w:t xml:space="preserve"> </w:t>
            </w:r>
          </w:p>
          <w:p w:rsidR="008902BA" w:rsidRDefault="008902BA">
            <w:pPr>
              <w:shd w:val="clear" w:color="auto" w:fill="FFFFFF"/>
              <w:ind w:left="720"/>
              <w:rPr>
                <w:rFonts w:ascii="Times New Roman" w:eastAsia="Times New Roman" w:hAnsi="Times New Roman" w:cs="Times New Roman"/>
              </w:rPr>
            </w:pPr>
          </w:p>
          <w:p w:rsidR="008902BA" w:rsidRDefault="008D18EC">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with developing fluency with addition and subtraction within 5 (K.OA.5):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play games to practice fluency wit</w:t>
            </w:r>
            <w:r>
              <w:rPr>
                <w:rFonts w:ascii="Times New Roman" w:eastAsia="Times New Roman" w:hAnsi="Times New Roman" w:cs="Times New Roman"/>
              </w:rPr>
              <w:t>hin 5 for both addition and subtraction. Examples:</w:t>
            </w:r>
          </w:p>
          <w:p w:rsidR="008902BA" w:rsidRDefault="008D18EC">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Roll two dice and determine the sum (or difference) of the numbers generated.  Because students should only be working within 5, dice can be custom made by drawing dots on blank number cubes found at a teacher store or craft store.</w:t>
            </w:r>
          </w:p>
          <w:p w:rsidR="008902BA" w:rsidRDefault="008D18EC">
            <w:pPr>
              <w:numPr>
                <w:ilvl w:val="1"/>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Flip two number cards an</w:t>
            </w:r>
            <w:r>
              <w:rPr>
                <w:rFonts w:ascii="Times New Roman" w:eastAsia="Times New Roman" w:hAnsi="Times New Roman" w:cs="Times New Roman"/>
              </w:rPr>
              <w:t xml:space="preserve">d determine the sum (or difference) of the numbers.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For students who are struggling with subtraction work with students on counting on from the number they are subtracting until they reach their start number. 4 minus 1 can be thought of as “1 before 4” </w:t>
            </w:r>
            <w:r>
              <w:rPr>
                <w:rFonts w:ascii="Times New Roman" w:eastAsia="Times New Roman" w:hAnsi="Times New Roman" w:cs="Times New Roman"/>
              </w:rPr>
              <w:t xml:space="preserve">which is 3. Or by counting on from 1 until they reach 4, “2, 3, </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xml:space="preserve">” so the answer is 3.  </w:t>
            </w:r>
          </w:p>
          <w:p w:rsidR="008902BA" w:rsidRDefault="008D18EC">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Lesson: </w:t>
            </w:r>
            <w:hyperlink r:id="rId15">
              <w:r>
                <w:rPr>
                  <w:rFonts w:ascii="Times New Roman" w:eastAsia="Times New Roman" w:hAnsi="Times New Roman" w:cs="Times New Roman"/>
                  <w:color w:val="1155CC"/>
                  <w:u w:val="single"/>
                </w:rPr>
                <w:t>Race to 5</w:t>
              </w:r>
            </w:hyperlink>
          </w:p>
          <w:p w:rsidR="008902BA" w:rsidRDefault="008D18EC">
            <w:pPr>
              <w:numPr>
                <w:ilvl w:val="0"/>
                <w:numId w:val="1"/>
              </w:numPr>
              <w:shd w:val="clear" w:color="auto" w:fill="FFFFFF"/>
              <w:rPr>
                <w:rFonts w:ascii="Times New Roman" w:eastAsia="Times New Roman" w:hAnsi="Times New Roman" w:cs="Times New Roman"/>
              </w:rPr>
            </w:pPr>
            <w:hyperlink r:id="rId16">
              <w:r>
                <w:rPr>
                  <w:rFonts w:ascii="Times New Roman" w:eastAsia="Times New Roman" w:hAnsi="Times New Roman" w:cs="Times New Roman"/>
                  <w:color w:val="1155CC"/>
                  <w:u w:val="single"/>
                </w:rPr>
                <w:t>Instructional and Assessment Tasks</w:t>
              </w:r>
            </w:hyperlink>
            <w:r>
              <w:rPr>
                <w:rFonts w:ascii="Times New Roman" w:eastAsia="Times New Roman" w:hAnsi="Times New Roman" w:cs="Times New Roman"/>
              </w:rPr>
              <w:t xml:space="preserve"> (middle column)</w:t>
            </w:r>
            <w:hyperlink r:id="rId17">
              <w:r>
                <w:rPr>
                  <w:rFonts w:ascii="Times New Roman" w:eastAsia="Times New Roman" w:hAnsi="Times New Roman" w:cs="Times New Roman"/>
                  <w:color w:val="1155CC"/>
                  <w:u w:val="single"/>
                </w:rPr>
                <w:t xml:space="preserve"> </w:t>
              </w:r>
            </w:hyperlink>
            <w:r>
              <w:rPr>
                <w:rFonts w:ascii="Times New Roman" w:eastAsia="Times New Roman" w:hAnsi="Times New Roman" w:cs="Times New Roman"/>
              </w:rPr>
              <w:t xml:space="preserve"> </w:t>
            </w:r>
          </w:p>
          <w:p w:rsidR="008902BA" w:rsidRDefault="008902BA">
            <w:pPr>
              <w:rPr>
                <w:rFonts w:ascii="Times New Roman" w:eastAsia="Times New Roman" w:hAnsi="Times New Roman" w:cs="Times New Roman"/>
              </w:rPr>
            </w:pPr>
          </w:p>
        </w:tc>
      </w:tr>
    </w:tbl>
    <w:p w:rsidR="008902BA" w:rsidRDefault="008902BA"/>
    <w:tbl>
      <w:tblPr>
        <w:tblStyle w:val="a3"/>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010"/>
      </w:tblGrid>
      <w:tr w:rsidR="008902BA" w:rsidTr="00BB32D5">
        <w:trPr>
          <w:trHeight w:val="420"/>
        </w:trPr>
        <w:tc>
          <w:tcPr>
            <w:tcW w:w="1530" w:type="dxa"/>
            <w:vMerge w:val="restart"/>
            <w:shd w:val="clear" w:color="auto" w:fill="F2FCFC"/>
          </w:tcPr>
          <w:p w:rsidR="008902BA" w:rsidRDefault="008D18EC">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8010" w:type="dxa"/>
            <w:shd w:val="clear" w:color="auto" w:fill="F2FCFC"/>
          </w:tcPr>
          <w:p w:rsidR="008902BA" w:rsidRDefault="008D18EC">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are able to proficiently meet all standards in this cluster. </w:t>
            </w:r>
          </w:p>
          <w:p w:rsidR="008902BA" w:rsidRDefault="008902BA">
            <w:pPr>
              <w:rPr>
                <w:rFonts w:ascii="Times New Roman" w:eastAsia="Times New Roman" w:hAnsi="Times New Roman" w:cs="Times New Roman"/>
                <w:b/>
              </w:rPr>
            </w:pPr>
          </w:p>
        </w:tc>
      </w:tr>
      <w:tr w:rsidR="008902BA" w:rsidTr="00BB32D5">
        <w:trPr>
          <w:trHeight w:val="2120"/>
        </w:trPr>
        <w:tc>
          <w:tcPr>
            <w:tcW w:w="1530" w:type="dxa"/>
            <w:vMerge/>
            <w:shd w:val="clear" w:color="auto" w:fill="F2FCFC"/>
          </w:tcPr>
          <w:p w:rsidR="008902BA" w:rsidRDefault="008902BA">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010" w:type="dxa"/>
          </w:tcPr>
          <w:p w:rsidR="008902BA" w:rsidRDefault="008D18EC">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8902BA" w:rsidRDefault="008902BA">
            <w:pPr>
              <w:pBdr>
                <w:top w:val="nil"/>
                <w:left w:val="nil"/>
                <w:bottom w:val="nil"/>
                <w:right w:val="nil"/>
                <w:between w:val="nil"/>
              </w:pBdr>
              <w:rPr>
                <w:rFonts w:ascii="Times New Roman" w:eastAsia="Times New Roman" w:hAnsi="Times New Roman" w:cs="Times New Roman"/>
              </w:rPr>
            </w:pPr>
          </w:p>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For students who have demonstrated proficiency related to K.NBT.1:</w:t>
            </w:r>
          </w:p>
          <w:p w:rsidR="008902BA" w:rsidRDefault="008D18EC">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Spend time on other standards. Students will receive more opportunities with teen numbers as they get into first grade. Do not do place value work beyond 19 in Kindergarten. </w:t>
            </w:r>
          </w:p>
          <w:p w:rsidR="008902BA" w:rsidRDefault="008902BA">
            <w:pPr>
              <w:pBdr>
                <w:top w:val="nil"/>
                <w:left w:val="nil"/>
                <w:bottom w:val="nil"/>
                <w:right w:val="nil"/>
                <w:between w:val="nil"/>
              </w:pBdr>
              <w:rPr>
                <w:rFonts w:ascii="Times New Roman" w:eastAsia="Times New Roman" w:hAnsi="Times New Roman" w:cs="Times New Roman"/>
              </w:rPr>
            </w:pPr>
          </w:p>
          <w:p w:rsidR="008902BA" w:rsidRDefault="008D18E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decomposing numbers (K.OA.3) and </w:t>
            </w:r>
            <w:r>
              <w:rPr>
                <w:rFonts w:ascii="Times New Roman" w:eastAsia="Times New Roman" w:hAnsi="Times New Roman" w:cs="Times New Roman"/>
                <w:b/>
              </w:rPr>
              <w:t xml:space="preserve">finding missing parts of a number (K.OA.4) within 10: </w:t>
            </w:r>
          </w:p>
          <w:p w:rsidR="008902BA" w:rsidRDefault="008D18EC">
            <w:pPr>
              <w:numPr>
                <w:ilvl w:val="0"/>
                <w:numId w:val="3"/>
              </w:numPr>
              <w:rPr>
                <w:rFonts w:ascii="Times New Roman" w:eastAsia="Times New Roman" w:hAnsi="Times New Roman" w:cs="Times New Roman"/>
              </w:rPr>
            </w:pPr>
            <w:r>
              <w:rPr>
                <w:rFonts w:ascii="Times New Roman" w:eastAsia="Times New Roman" w:hAnsi="Times New Roman" w:cs="Times New Roman"/>
              </w:rPr>
              <w:t>Provide more opportunities for students to solve missing parts activities (K.OA.4) for numbers within 10. Work with students on a variety of strategies including counting on and counting back to develo</w:t>
            </w:r>
            <w:r>
              <w:rPr>
                <w:rFonts w:ascii="Times New Roman" w:eastAsia="Times New Roman" w:hAnsi="Times New Roman" w:cs="Times New Roman"/>
              </w:rPr>
              <w:t>p their understanding of combinations for addition and subtraction.</w:t>
            </w:r>
          </w:p>
          <w:p w:rsidR="008902BA" w:rsidRDefault="008902BA">
            <w:pPr>
              <w:rPr>
                <w:rFonts w:ascii="Times New Roman" w:eastAsia="Times New Roman" w:hAnsi="Times New Roman" w:cs="Times New Roman"/>
                <w:b/>
              </w:rPr>
            </w:pPr>
          </w:p>
          <w:p w:rsidR="008902BA" w:rsidRDefault="008D18EC">
            <w:pP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in addition and subtraction word problems (K.OA.1, K.OA.2): </w:t>
            </w:r>
          </w:p>
          <w:p w:rsidR="008902BA" w:rsidRDefault="008D18EC">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solve addition and subtraction word probl</w:t>
            </w:r>
            <w:r>
              <w:rPr>
                <w:rFonts w:ascii="Times New Roman" w:eastAsia="Times New Roman" w:hAnsi="Times New Roman" w:cs="Times New Roman"/>
              </w:rPr>
              <w:t xml:space="preserve">ems within 15. Provide them with number paths, number lines, or double ten frames, and concrete objects (counters, cubes) to support their work. </w:t>
            </w:r>
          </w:p>
          <w:p w:rsidR="008902BA" w:rsidRDefault="008902BA">
            <w:pPr>
              <w:rPr>
                <w:rFonts w:ascii="Times New Roman" w:eastAsia="Times New Roman" w:hAnsi="Times New Roman" w:cs="Times New Roman"/>
              </w:rPr>
            </w:pPr>
          </w:p>
          <w:p w:rsidR="008902BA" w:rsidRDefault="008D18EC">
            <w:pP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fluency with addition and subtraction within 5 (K.OA.5): </w:t>
            </w:r>
          </w:p>
          <w:p w:rsidR="008902BA" w:rsidRPr="00BB32D5" w:rsidRDefault="008D18EC" w:rsidP="00BB32D5">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Pose fluency games with number cards and dice that involve addition within 10. This is a focus in first grade so there is no need to rush students and force automatic recall or memorization of facts.</w:t>
            </w:r>
          </w:p>
        </w:tc>
      </w:tr>
    </w:tbl>
    <w:p w:rsidR="008902BA" w:rsidRDefault="008902BA">
      <w:pPr>
        <w:rPr>
          <w:rFonts w:ascii="Times New Roman" w:eastAsia="Times New Roman" w:hAnsi="Times New Roman" w:cs="Times New Roman"/>
          <w:sz w:val="2"/>
          <w:szCs w:val="2"/>
        </w:rPr>
      </w:pPr>
    </w:p>
    <w:p w:rsidR="008902BA" w:rsidRDefault="008902BA">
      <w:pPr>
        <w:rPr>
          <w:rFonts w:ascii="Times New Roman" w:eastAsia="Times New Roman" w:hAnsi="Times New Roman" w:cs="Times New Roman"/>
          <w:sz w:val="2"/>
          <w:szCs w:val="2"/>
        </w:rPr>
      </w:pPr>
    </w:p>
    <w:p w:rsidR="008902BA" w:rsidRDefault="008902BA">
      <w:pPr>
        <w:rPr>
          <w:rFonts w:ascii="Times New Roman" w:eastAsia="Times New Roman" w:hAnsi="Times New Roman" w:cs="Times New Roman"/>
          <w:sz w:val="2"/>
          <w:szCs w:val="2"/>
        </w:rPr>
      </w:pPr>
    </w:p>
    <w:p w:rsidR="008902BA" w:rsidRDefault="008902BA">
      <w:pPr>
        <w:rPr>
          <w:rFonts w:ascii="Times New Roman" w:eastAsia="Times New Roman" w:hAnsi="Times New Roman" w:cs="Times New Roman"/>
          <w:sz w:val="2"/>
          <w:szCs w:val="2"/>
        </w:rPr>
      </w:pPr>
    </w:p>
    <w:p w:rsidR="008902BA" w:rsidRDefault="008D18EC">
      <w:r>
        <w:br w:type="page"/>
      </w:r>
    </w:p>
    <w:p w:rsidR="00BB32D5" w:rsidRDefault="00BB32D5">
      <w:pPr>
        <w:rPr>
          <w:rFonts w:ascii="Times New Roman" w:eastAsia="Times New Roman" w:hAnsi="Times New Roman" w:cs="Times New Roman"/>
          <w:sz w:val="2"/>
          <w:szCs w:val="2"/>
        </w:rPr>
      </w:pPr>
    </w:p>
    <w:p w:rsidR="008902BA" w:rsidRDefault="008902BA">
      <w:pPr>
        <w:rPr>
          <w:rFonts w:ascii="Times New Roman" w:eastAsia="Times New Roman" w:hAnsi="Times New Roman" w:cs="Times New Roman"/>
        </w:rPr>
      </w:pPr>
    </w:p>
    <w:p w:rsidR="008902BA" w:rsidRDefault="008D18EC">
      <w:pPr>
        <w:rPr>
          <w:rFonts w:ascii="Times New Roman" w:eastAsia="Times New Roman" w:hAnsi="Times New Roman" w:cs="Times New Roman"/>
        </w:rPr>
      </w:pPr>
      <w:r>
        <w:rPr>
          <w:rFonts w:ascii="Times New Roman" w:eastAsia="Times New Roman" w:hAnsi="Times New Roman" w:cs="Times New Roman"/>
        </w:rPr>
        <w:t>Teen Number Cards</w:t>
      </w:r>
    </w:p>
    <w:p w:rsidR="008902BA" w:rsidRDefault="008902BA">
      <w:pPr>
        <w:rPr>
          <w:rFonts w:ascii="Times New Roman" w:eastAsia="Times New Roman" w:hAnsi="Times New Roman" w:cs="Times New Roman"/>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10</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11</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12</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13</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14</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15</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16</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17</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18</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19</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10</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11</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12</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13</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14</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15</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16</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17</w:t>
            </w:r>
          </w:p>
        </w:tc>
      </w:tr>
      <w:tr w:rsidR="008902BA">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18</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19</w:t>
            </w:r>
          </w:p>
        </w:tc>
        <w:tc>
          <w:tcPr>
            <w:tcW w:w="3120" w:type="dxa"/>
            <w:shd w:val="clear" w:color="auto" w:fill="auto"/>
            <w:tcMar>
              <w:top w:w="100" w:type="dxa"/>
              <w:left w:w="100" w:type="dxa"/>
              <w:bottom w:w="100" w:type="dxa"/>
              <w:right w:w="100" w:type="dxa"/>
            </w:tcMar>
          </w:tcPr>
          <w:p w:rsidR="008902BA" w:rsidRDefault="008D18EC">
            <w:pPr>
              <w:widowControl w:val="0"/>
              <w:pBdr>
                <w:top w:val="nil"/>
                <w:left w:val="nil"/>
                <w:bottom w:val="nil"/>
                <w:right w:val="nil"/>
                <w:between w:val="nil"/>
              </w:pBdr>
              <w:spacing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15 </w:t>
            </w:r>
          </w:p>
        </w:tc>
      </w:tr>
    </w:tbl>
    <w:p w:rsidR="008902BA" w:rsidRDefault="008902BA">
      <w:pPr>
        <w:rPr>
          <w:rFonts w:ascii="Times New Roman" w:eastAsia="Times New Roman" w:hAnsi="Times New Roman" w:cs="Times New Roman"/>
        </w:rPr>
      </w:pPr>
    </w:p>
    <w:p w:rsidR="008902BA" w:rsidRDefault="008902BA">
      <w:pPr>
        <w:rPr>
          <w:rFonts w:ascii="Times New Roman" w:eastAsia="Times New Roman" w:hAnsi="Times New Roman" w:cs="Times New Roman"/>
        </w:rPr>
      </w:pPr>
    </w:p>
    <w:p w:rsidR="008902BA" w:rsidRDefault="008902BA">
      <w:pPr>
        <w:rPr>
          <w:rFonts w:ascii="Times New Roman" w:eastAsia="Times New Roman" w:hAnsi="Times New Roman" w:cs="Times New Roman"/>
        </w:rPr>
      </w:pPr>
    </w:p>
    <w:p w:rsidR="00BB32D5" w:rsidRDefault="00BB32D5">
      <w:pPr>
        <w:rPr>
          <w:rFonts w:ascii="Times New Roman" w:eastAsia="Times New Roman" w:hAnsi="Times New Roman" w:cs="Times New Roman"/>
        </w:rPr>
      </w:pPr>
      <w:r>
        <w:rPr>
          <w:rFonts w:ascii="Times New Roman" w:eastAsia="Times New Roman" w:hAnsi="Times New Roman" w:cs="Times New Roman"/>
        </w:rPr>
        <w:br w:type="page"/>
      </w:r>
    </w:p>
    <w:p w:rsidR="00BB32D5" w:rsidRDefault="00BB32D5" w:rsidP="00BB32D5">
      <w:pPr>
        <w:rPr>
          <w:rFonts w:ascii="Times New Roman" w:eastAsia="Times New Roman" w:hAnsi="Times New Roman" w:cs="Times New Roman"/>
        </w:rPr>
      </w:pPr>
      <w:r>
        <w:rPr>
          <w:rFonts w:ascii="Times New Roman" w:eastAsia="Times New Roman" w:hAnsi="Times New Roman" w:cs="Times New Roman"/>
        </w:rPr>
        <w:lastRenderedPageBreak/>
        <w:t xml:space="preserve">Double Ten Frame </w:t>
      </w: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B32D5" w:rsidTr="00287146">
        <w:trPr>
          <w:trHeight w:val="1646"/>
        </w:trPr>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8" w:type="dxa"/>
          </w:tcPr>
          <w:p w:rsidR="00BB32D5" w:rsidRDefault="00BB32D5" w:rsidP="00287146">
            <w:pPr>
              <w:rPr>
                <w:rFonts w:ascii="Times New Roman" w:eastAsia="Times New Roman" w:hAnsi="Times New Roman" w:cs="Times New Roman"/>
              </w:rPr>
            </w:pPr>
          </w:p>
        </w:tc>
      </w:tr>
      <w:tr w:rsidR="00BB32D5" w:rsidTr="00287146">
        <w:trPr>
          <w:trHeight w:val="1646"/>
        </w:trPr>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8" w:type="dxa"/>
          </w:tcPr>
          <w:p w:rsidR="00BB32D5" w:rsidRDefault="00BB32D5" w:rsidP="00287146">
            <w:pPr>
              <w:rPr>
                <w:rFonts w:ascii="Times New Roman" w:eastAsia="Times New Roman" w:hAnsi="Times New Roman" w:cs="Times New Roman"/>
              </w:rPr>
            </w:pPr>
          </w:p>
        </w:tc>
      </w:tr>
    </w:tbl>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B32D5" w:rsidTr="00287146">
        <w:trPr>
          <w:trHeight w:val="1646"/>
        </w:trPr>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8" w:type="dxa"/>
          </w:tcPr>
          <w:p w:rsidR="00BB32D5" w:rsidRDefault="00BB32D5" w:rsidP="00287146">
            <w:pPr>
              <w:rPr>
                <w:rFonts w:ascii="Times New Roman" w:eastAsia="Times New Roman" w:hAnsi="Times New Roman" w:cs="Times New Roman"/>
              </w:rPr>
            </w:pPr>
          </w:p>
        </w:tc>
      </w:tr>
      <w:tr w:rsidR="00BB32D5" w:rsidTr="00287146">
        <w:trPr>
          <w:trHeight w:val="1646"/>
        </w:trPr>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7" w:type="dxa"/>
          </w:tcPr>
          <w:p w:rsidR="00BB32D5" w:rsidRDefault="00BB32D5" w:rsidP="00287146">
            <w:pPr>
              <w:rPr>
                <w:rFonts w:ascii="Times New Roman" w:eastAsia="Times New Roman" w:hAnsi="Times New Roman" w:cs="Times New Roman"/>
              </w:rPr>
            </w:pPr>
          </w:p>
        </w:tc>
        <w:tc>
          <w:tcPr>
            <w:tcW w:w="1898" w:type="dxa"/>
          </w:tcPr>
          <w:p w:rsidR="00BB32D5" w:rsidRDefault="00BB32D5" w:rsidP="00287146">
            <w:pPr>
              <w:rPr>
                <w:rFonts w:ascii="Times New Roman" w:eastAsia="Times New Roman" w:hAnsi="Times New Roman" w:cs="Times New Roman"/>
              </w:rPr>
            </w:pPr>
          </w:p>
        </w:tc>
      </w:tr>
    </w:tbl>
    <w:p w:rsidR="00BB32D5" w:rsidRDefault="00BB32D5" w:rsidP="00BB32D5">
      <w:pPr>
        <w:rPr>
          <w:rFonts w:ascii="Times New Roman" w:eastAsia="Times New Roman" w:hAnsi="Times New Roman" w:cs="Times New Roman"/>
        </w:rPr>
      </w:pPr>
      <w:r>
        <w:rPr>
          <w:rFonts w:ascii="Times New Roman" w:eastAsia="Times New Roman" w:hAnsi="Times New Roman" w:cs="Times New Roman"/>
        </w:rPr>
        <w:br w:type="page"/>
      </w:r>
    </w:p>
    <w:p w:rsidR="00BB32D5" w:rsidRDefault="00BB32D5" w:rsidP="00BB32D5">
      <w:pPr>
        <w:rPr>
          <w:rFonts w:ascii="Times New Roman" w:eastAsia="Times New Roman" w:hAnsi="Times New Roman" w:cs="Times New Roman"/>
        </w:rPr>
      </w:pPr>
      <w:r>
        <w:rPr>
          <w:rFonts w:ascii="Times New Roman" w:eastAsia="Times New Roman" w:hAnsi="Times New Roman" w:cs="Times New Roman"/>
        </w:rPr>
        <w:lastRenderedPageBreak/>
        <w:t>Primary Number Cards (Adapted from Investigations, TERC)</w:t>
      </w: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CC0B6C9" wp14:editId="08314026">
            <wp:extent cx="5756269" cy="7687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8">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BB32D5" w:rsidRDefault="00BB32D5" w:rsidP="00BB32D5">
      <w:pPr>
        <w:rPr>
          <w:rFonts w:ascii="Times New Roman" w:eastAsia="Times New Roman" w:hAnsi="Times New Roman" w:cs="Times New Roman"/>
          <w:b/>
        </w:rPr>
      </w:pPr>
    </w:p>
    <w:p w:rsidR="00BB32D5" w:rsidRDefault="00BB32D5" w:rsidP="00BB32D5">
      <w:pPr>
        <w:rPr>
          <w:rFonts w:ascii="Times New Roman" w:eastAsia="Times New Roman" w:hAnsi="Times New Roman" w:cs="Times New Roman"/>
          <w:noProof/>
        </w:rPr>
      </w:pPr>
    </w:p>
    <w:p w:rsidR="00BB32D5" w:rsidRDefault="00BB32D5" w:rsidP="00BB32D5">
      <w:pPr>
        <w:rPr>
          <w:rFonts w:ascii="Times New Roman" w:eastAsia="Times New Roman" w:hAnsi="Times New Roman" w:cs="Times New Roman"/>
          <w:noProof/>
        </w:rPr>
      </w:pPr>
    </w:p>
    <w:p w:rsidR="00BB32D5" w:rsidRDefault="00BB32D5" w:rsidP="00BB32D5">
      <w:pPr>
        <w:rPr>
          <w:rFonts w:ascii="Times New Roman" w:eastAsia="Times New Roman" w:hAnsi="Times New Roman" w:cs="Times New Roman"/>
          <w:noProof/>
        </w:rPr>
      </w:pPr>
    </w:p>
    <w:p w:rsidR="00BB32D5" w:rsidRDefault="00BB32D5" w:rsidP="00BB32D5">
      <w:pPr>
        <w:rPr>
          <w:rFonts w:ascii="Times New Roman" w:eastAsia="Times New Roman" w:hAnsi="Times New Roman" w:cs="Times New Roman"/>
          <w:b/>
        </w:rPr>
        <w:sectPr w:rsidR="00BB32D5">
          <w:headerReference w:type="default" r:id="rId19"/>
          <w:footerReference w:type="default" r:id="rId20"/>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14:anchorId="6476A07C" wp14:editId="35F7951B">
            <wp:extent cx="5687060" cy="7409793"/>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21">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r>
        <w:rPr>
          <w:rFonts w:ascii="Times New Roman" w:eastAsia="Times New Roman" w:hAnsi="Times New Roman" w:cs="Times New Roman"/>
        </w:rPr>
        <w:t xml:space="preserve">Number Path to 10 (Tens Chart) </w:t>
      </w:r>
    </w:p>
    <w:p w:rsidR="00BB32D5" w:rsidRDefault="00BB32D5" w:rsidP="00BB32D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38"/>
        <w:gridCol w:w="937"/>
        <w:gridCol w:w="937"/>
        <w:gridCol w:w="937"/>
        <w:gridCol w:w="938"/>
        <w:gridCol w:w="938"/>
        <w:gridCol w:w="938"/>
        <w:gridCol w:w="938"/>
        <w:gridCol w:w="938"/>
        <w:gridCol w:w="1137"/>
      </w:tblGrid>
      <w:tr w:rsidR="00BB32D5" w:rsidTr="00287146">
        <w:trPr>
          <w:trHeight w:val="1785"/>
        </w:trPr>
        <w:tc>
          <w:tcPr>
            <w:tcW w:w="1383"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w:t>
            </w:r>
          </w:p>
        </w:tc>
        <w:tc>
          <w:tcPr>
            <w:tcW w:w="1383"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2</w:t>
            </w:r>
          </w:p>
        </w:tc>
        <w:tc>
          <w:tcPr>
            <w:tcW w:w="1383"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3</w:t>
            </w:r>
          </w:p>
        </w:tc>
        <w:tc>
          <w:tcPr>
            <w:tcW w:w="1383"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4</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5</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6</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7</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8</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9</w:t>
            </w:r>
          </w:p>
        </w:tc>
        <w:tc>
          <w:tcPr>
            <w:tcW w:w="1384" w:type="dxa"/>
          </w:tcPr>
          <w:p w:rsidR="00BB32D5" w:rsidRPr="00F35A55" w:rsidRDefault="00BB32D5"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10</w:t>
            </w:r>
          </w:p>
        </w:tc>
      </w:tr>
    </w:tbl>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r>
        <w:rPr>
          <w:rFonts w:ascii="Times New Roman" w:eastAsia="Times New Roman" w:hAnsi="Times New Roman" w:cs="Times New Roman"/>
        </w:rPr>
        <w:t>Number Line</w:t>
      </w:r>
    </w:p>
    <w:p w:rsidR="00BB32D5" w:rsidRDefault="00BB32D5" w:rsidP="00BB32D5">
      <w:pPr>
        <w:rPr>
          <w:rFonts w:ascii="Times New Roman" w:eastAsia="Times New Roman" w:hAnsi="Times New Roman" w:cs="Times New Roman"/>
        </w:rPr>
      </w:pPr>
    </w:p>
    <w:p w:rsidR="00BB32D5" w:rsidRDefault="00BB32D5" w:rsidP="00BB32D5">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29"/>
        <w:gridCol w:w="428"/>
        <w:gridCol w:w="429"/>
        <w:gridCol w:w="428"/>
        <w:gridCol w:w="429"/>
        <w:gridCol w:w="428"/>
        <w:gridCol w:w="429"/>
        <w:gridCol w:w="429"/>
        <w:gridCol w:w="429"/>
        <w:gridCol w:w="429"/>
        <w:gridCol w:w="429"/>
        <w:gridCol w:w="429"/>
        <w:gridCol w:w="429"/>
        <w:gridCol w:w="429"/>
        <w:gridCol w:w="429"/>
        <w:gridCol w:w="429"/>
        <w:gridCol w:w="429"/>
        <w:gridCol w:w="429"/>
        <w:gridCol w:w="429"/>
        <w:gridCol w:w="429"/>
        <w:gridCol w:w="512"/>
        <w:gridCol w:w="477"/>
        <w:gridCol w:w="10"/>
      </w:tblGrid>
      <w:tr w:rsidR="00BB32D5" w:rsidTr="00287146">
        <w:trPr>
          <w:gridAfter w:val="1"/>
          <w:wAfter w:w="10" w:type="dxa"/>
          <w:trHeight w:val="616"/>
        </w:trPr>
        <w:tc>
          <w:tcPr>
            <w:tcW w:w="631" w:type="dxa"/>
            <w:tcBorders>
              <w:top w:val="nil"/>
              <w:left w:val="nil"/>
              <w:bottom w:val="nil"/>
            </w:tcBorders>
          </w:tcPr>
          <w:p w:rsidR="00BB32D5" w:rsidRDefault="00BB32D5" w:rsidP="00287146">
            <w:pPr>
              <w:rPr>
                <w:rFonts w:ascii="Times New Roman" w:eastAsia="Times New Roman" w:hAnsi="Times New Roman" w:cs="Times New Roman"/>
              </w:rPr>
            </w:pPr>
          </w:p>
        </w:tc>
        <w:tc>
          <w:tcPr>
            <w:tcW w:w="632" w:type="dxa"/>
            <w:tcBorders>
              <w:top w:val="nil"/>
              <w:left w:val="nil"/>
              <w:bottom w:val="nil"/>
              <w:right w:val="nil"/>
            </w:tcBorders>
          </w:tcPr>
          <w:p w:rsidR="00BB32D5" w:rsidRDefault="00BB32D5" w:rsidP="00287146">
            <w:pPr>
              <w:rPr>
                <w:rFonts w:ascii="Times New Roman" w:eastAsia="Times New Roman" w:hAnsi="Times New Roman" w:cs="Times New Roman"/>
              </w:rPr>
            </w:pPr>
          </w:p>
        </w:tc>
        <w:tc>
          <w:tcPr>
            <w:tcW w:w="632" w:type="dxa"/>
            <w:tcBorders>
              <w:top w:val="nil"/>
              <w:left w:val="nil"/>
              <w:bottom w:val="nil"/>
            </w:tcBorders>
          </w:tcPr>
          <w:p w:rsidR="00BB32D5" w:rsidRDefault="00BB32D5" w:rsidP="00287146">
            <w:pPr>
              <w:rPr>
                <w:rFonts w:ascii="Times New Roman" w:eastAsia="Times New Roman" w:hAnsi="Times New Roman" w:cs="Times New Roman"/>
              </w:rPr>
            </w:pPr>
          </w:p>
        </w:tc>
        <w:tc>
          <w:tcPr>
            <w:tcW w:w="633" w:type="dxa"/>
            <w:tcBorders>
              <w:top w:val="nil"/>
              <w:right w:val="nil"/>
            </w:tcBorders>
          </w:tcPr>
          <w:p w:rsidR="00BB32D5" w:rsidRDefault="00BB32D5" w:rsidP="00287146">
            <w:pPr>
              <w:rPr>
                <w:rFonts w:ascii="Times New Roman" w:eastAsia="Times New Roman" w:hAnsi="Times New Roman" w:cs="Times New Roman"/>
              </w:rPr>
            </w:pPr>
          </w:p>
        </w:tc>
        <w:tc>
          <w:tcPr>
            <w:tcW w:w="633" w:type="dxa"/>
            <w:tcBorders>
              <w:top w:val="nil"/>
              <w:left w:val="nil"/>
            </w:tcBorders>
          </w:tcPr>
          <w:p w:rsidR="00BB32D5" w:rsidRDefault="00BB32D5" w:rsidP="00287146">
            <w:pPr>
              <w:rPr>
                <w:rFonts w:ascii="Times New Roman" w:eastAsia="Times New Roman" w:hAnsi="Times New Roman" w:cs="Times New Roman"/>
              </w:rPr>
            </w:pPr>
          </w:p>
        </w:tc>
        <w:tc>
          <w:tcPr>
            <w:tcW w:w="634"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34" w:type="dxa"/>
            <w:tcBorders>
              <w:top w:val="nil"/>
              <w:left w:val="nil"/>
            </w:tcBorders>
          </w:tcPr>
          <w:p w:rsidR="00BB32D5" w:rsidRDefault="00BB32D5" w:rsidP="00287146">
            <w:pPr>
              <w:rPr>
                <w:rFonts w:ascii="Times New Roman" w:eastAsia="Times New Roman" w:hAnsi="Times New Roman" w:cs="Times New Roman"/>
              </w:rPr>
            </w:pPr>
          </w:p>
        </w:tc>
        <w:tc>
          <w:tcPr>
            <w:tcW w:w="635" w:type="dxa"/>
            <w:tcBorders>
              <w:top w:val="nil"/>
              <w:right w:val="nil"/>
            </w:tcBorders>
          </w:tcPr>
          <w:p w:rsidR="00BB32D5" w:rsidRDefault="00BB32D5" w:rsidP="00287146">
            <w:pPr>
              <w:rPr>
                <w:rFonts w:ascii="Times New Roman" w:eastAsia="Times New Roman" w:hAnsi="Times New Roman" w:cs="Times New Roman"/>
              </w:rPr>
            </w:pPr>
          </w:p>
        </w:tc>
        <w:tc>
          <w:tcPr>
            <w:tcW w:w="653" w:type="dxa"/>
            <w:tcBorders>
              <w:top w:val="nil"/>
              <w:left w:val="nil"/>
            </w:tcBorders>
          </w:tcPr>
          <w:p w:rsidR="00BB32D5" w:rsidRDefault="00BB32D5" w:rsidP="00287146">
            <w:pPr>
              <w:rPr>
                <w:rFonts w:ascii="Times New Roman" w:eastAsia="Times New Roman" w:hAnsi="Times New Roman" w:cs="Times New Roman"/>
              </w:rPr>
            </w:pPr>
          </w:p>
        </w:tc>
        <w:tc>
          <w:tcPr>
            <w:tcW w:w="645" w:type="dxa"/>
            <w:tcBorders>
              <w:top w:val="nil"/>
              <w:right w:val="nil"/>
            </w:tcBorders>
          </w:tcPr>
          <w:p w:rsidR="00BB32D5" w:rsidRDefault="00BB32D5" w:rsidP="00287146">
            <w:pPr>
              <w:rPr>
                <w:rFonts w:ascii="Times New Roman" w:eastAsia="Times New Roman" w:hAnsi="Times New Roman" w:cs="Times New Roman"/>
              </w:rPr>
            </w:pPr>
          </w:p>
        </w:tc>
      </w:tr>
      <w:tr w:rsidR="00BB32D5" w:rsidTr="00287146">
        <w:trPr>
          <w:trHeight w:val="616"/>
        </w:trPr>
        <w:tc>
          <w:tcPr>
            <w:tcW w:w="1263"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0</w:t>
            </w:r>
          </w:p>
        </w:tc>
        <w:tc>
          <w:tcPr>
            <w:tcW w:w="1265"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w:t>
            </w:r>
          </w:p>
        </w:tc>
        <w:tc>
          <w:tcPr>
            <w:tcW w:w="1267"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2</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3</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4</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5</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6</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7</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8</w:t>
            </w:r>
          </w:p>
        </w:tc>
        <w:tc>
          <w:tcPr>
            <w:tcW w:w="1269" w:type="dxa"/>
            <w:gridSpan w:val="2"/>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9</w:t>
            </w:r>
          </w:p>
        </w:tc>
        <w:tc>
          <w:tcPr>
            <w:tcW w:w="1308" w:type="dxa"/>
            <w:gridSpan w:val="3"/>
            <w:tcBorders>
              <w:left w:val="nil"/>
              <w:bottom w:val="nil"/>
              <w:right w:val="nil"/>
            </w:tcBorders>
          </w:tcPr>
          <w:p w:rsidR="00BB32D5" w:rsidRPr="004C5C24" w:rsidRDefault="00BB32D5"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10</w:t>
            </w:r>
          </w:p>
        </w:tc>
      </w:tr>
    </w:tbl>
    <w:p w:rsidR="00BB32D5" w:rsidRPr="00F35A55" w:rsidRDefault="00BB32D5" w:rsidP="00BB32D5">
      <w:pPr>
        <w:rPr>
          <w:rFonts w:ascii="Times New Roman" w:eastAsia="Times New Roman" w:hAnsi="Times New Roman" w:cs="Times New Roman"/>
        </w:rPr>
      </w:pPr>
    </w:p>
    <w:p w:rsidR="00BB32D5" w:rsidRDefault="00BB32D5">
      <w:pPr>
        <w:rPr>
          <w:rFonts w:ascii="Times New Roman" w:eastAsia="Times New Roman" w:hAnsi="Times New Roman" w:cs="Times New Roman"/>
        </w:rPr>
      </w:pPr>
      <w:bookmarkStart w:id="2" w:name="_GoBack"/>
      <w:bookmarkEnd w:id="2"/>
    </w:p>
    <w:sectPr w:rsidR="00BB32D5">
      <w:headerReference w:type="default" r:id="rId22"/>
      <w:footerReference w:type="default" r:id="rId23"/>
      <w:pgSz w:w="12240" w:h="15840"/>
      <w:pgMar w:top="1440" w:right="1440" w:bottom="630" w:left="1440" w:header="270" w:footer="2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EC" w:rsidRDefault="008D18EC">
      <w:r>
        <w:separator/>
      </w:r>
    </w:p>
  </w:endnote>
  <w:endnote w:type="continuationSeparator" w:id="0">
    <w:p w:rsidR="008D18EC" w:rsidRDefault="008D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D5" w:rsidRDefault="00BB32D5">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4EEC03A5" wp14:editId="4F54AA68">
              <wp:simplePos x="0" y="0"/>
              <wp:positionH relativeFrom="column">
                <wp:posOffset>-355599</wp:posOffset>
              </wp:positionH>
              <wp:positionV relativeFrom="paragraph">
                <wp:posOffset>114300</wp:posOffset>
              </wp:positionV>
              <wp:extent cx="68675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4EEE6C6A" id="_x0000_t32" coordsize="21600,21600" o:spt="32" o:oned="t" path="m,l21600,21600e" filled="f">
              <v:path arrowok="t" fillok="f" o:connecttype="none"/>
              <o:lock v:ext="edit" shapetype="t"/>
            </v:shapetype>
            <v:shape id="Straight Arrow Connector 12" o:spid="_x0000_s1026" type="#_x0000_t32" style="position:absolute;margin-left:-28pt;margin-top:9pt;width:540.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dg7QEAAMwDAAAOAAAAZHJzL2Uyb0RvYy54bWysU9uOEzEMfUfiH6K807msttutOl2hluUF&#10;QaWFD8gmmU5EbrJDp/17nMzQ5fKAhJiHTBLbx+fYzubh7Cw7aUATfMebRc2Z9jIo448d//L58c2K&#10;M0zCK2GD1x2/aOQP29evNmNc6zYMwSoNjEA8rsfY8SGluK4qlIN2Ahchak/GPoATiY5wrBSIkdCd&#10;rdq6XlZjABUhSI1It/vJyLcFv++1TJ/6HnVituPELZUVyvqc12q7EesjiDgYOdMQ/8DCCeMp6RVq&#10;L5Jg38D8AeWMhIChTwsZXBX63khdNJCapv5NzdMgoi5aqDgYr2XC/wcrP54OwIyi3rWceeGoR08J&#10;hDkOib0FCCPbBe+pjgEYuVC9xohrCtv5A8wnjAfI4s89uPwnWexMiPdN297QAFw6fnO3qumb6q3P&#10;iUlyWK6Wd7ftLWeSPIqtegGJgOm9Do7lTcdxJnVl05R6i9MHTESDAn8EZAY+PBprS3OtZ2PH76c8&#10;gkastyJRShdJNPpjgcFgjcohObgMn95ZYCdBY6O+Npk2ZfjFK6fbCxwmp2Ka1DmTaKStcR0vmmfR&#10;gxbqnVcsXSLV2NNr4JkYOs6sprdDm8I3CWP/7kdsrCdSuRlT+fPuOahL6Uq5p5EptOfxzjP587lE&#10;vzzC7XcAAAD//wMAUEsDBBQABgAIAAAAIQC4LFS43AAAAAoBAAAPAAAAZHJzL2Rvd25yZXYueG1s&#10;TI/BbsIwEETvlfoP1lbqDRygiVAaB6FKPXBCpXyAE2+TCHsdxcaEv+9yak+r1Yxm3lS72VmRcAqD&#10;JwWrZQYCqfVmoE7B+ftzsQURoiajrSdUcMcAu/r5qdKl8Tf6wnSKneAQCqVW0Mc4llKGtkenw9KP&#10;SKz9+MnpyO/USTPpG4c7K9dZVkinB+KGXo/40WN7OV2dgn06dBu5Oab7QG8YC5sOvjkq9foy799B&#10;RJzjnxke+IwONTM1/komCKtgkRe8JbKw5fswZOs8B9Eo4GKQdSX/T6h/AQAA//8DAFBLAQItABQA&#10;BgAIAAAAIQC2gziS/gAAAOEBAAATAAAAAAAAAAAAAAAAAAAAAABbQ29udGVudF9UeXBlc10ueG1s&#10;UEsBAi0AFAAGAAgAAAAhADj9If/WAAAAlAEAAAsAAAAAAAAAAAAAAAAALwEAAF9yZWxzLy5yZWxz&#10;UEsBAi0AFAAGAAgAAAAhAFGRZ2DtAQAAzAMAAA4AAAAAAAAAAAAAAAAALgIAAGRycy9lMm9Eb2Mu&#10;eG1sUEsBAi0AFAAGAAgAAAAhALgsVLjcAAAACgEAAA8AAAAAAAAAAAAAAAAARwQAAGRycy9kb3du&#10;cmV2LnhtbFBLBQYAAAAABAAEAPMAAABQBQAAAAA=&#10;" strokecolor="black [3200]">
              <v:stroke startarrowwidth="narrow" startarrowlength="short" endarrowwidth="narrow" endarrowlength="short" joinstyle="miter"/>
            </v:shape>
          </w:pict>
        </mc:Fallback>
      </mc:AlternateContent>
    </w:r>
  </w:p>
  <w:p w:rsidR="00BB32D5" w:rsidRDefault="00BB32D5">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KINDERGARTEN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BA" w:rsidRDefault="008D18EC">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02C8CB5"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8902BA" w:rsidRDefault="008D18EC">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sidR="00BB32D5">
      <w:rPr>
        <w:rFonts w:ascii="Times New Roman" w:eastAsia="Times New Roman" w:hAnsi="Times New Roman" w:cs="Times New Roman"/>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EC" w:rsidRDefault="008D18EC">
      <w:r>
        <w:separator/>
      </w:r>
    </w:p>
  </w:footnote>
  <w:footnote w:type="continuationSeparator" w:id="0">
    <w:p w:rsidR="008D18EC" w:rsidRDefault="008D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D5" w:rsidRDefault="00BB32D5">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BB32D5" w:rsidRDefault="00BB32D5">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BA" w:rsidRDefault="008902BA">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8902BA" w:rsidRDefault="008D18EC">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F27"/>
    <w:multiLevelType w:val="multilevel"/>
    <w:tmpl w:val="884C6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759F3"/>
    <w:multiLevelType w:val="multilevel"/>
    <w:tmpl w:val="1C506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534DF2"/>
    <w:multiLevelType w:val="multilevel"/>
    <w:tmpl w:val="19C4D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E619CE"/>
    <w:multiLevelType w:val="multilevel"/>
    <w:tmpl w:val="53BCA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02BA"/>
    <w:rsid w:val="008902BA"/>
    <w:rsid w:val="008D18EC"/>
    <w:rsid w:val="00BB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41D3"/>
  <w15:docId w15:val="{8B48831F-D775-429E-BE10-74C7CE8A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32D5"/>
    <w:pPr>
      <w:tabs>
        <w:tab w:val="center" w:pos="4680"/>
        <w:tab w:val="right" w:pos="9360"/>
      </w:tabs>
    </w:pPr>
  </w:style>
  <w:style w:type="character" w:customStyle="1" w:styleId="HeaderChar">
    <w:name w:val="Header Char"/>
    <w:basedOn w:val="DefaultParagraphFont"/>
    <w:link w:val="Header"/>
    <w:uiPriority w:val="99"/>
    <w:rsid w:val="00BB32D5"/>
  </w:style>
  <w:style w:type="paragraph" w:styleId="Footer">
    <w:name w:val="footer"/>
    <w:basedOn w:val="Normal"/>
    <w:link w:val="FooterChar"/>
    <w:uiPriority w:val="99"/>
    <w:unhideWhenUsed/>
    <w:rsid w:val="00BB32D5"/>
    <w:pPr>
      <w:tabs>
        <w:tab w:val="center" w:pos="4680"/>
        <w:tab w:val="right" w:pos="9360"/>
      </w:tabs>
    </w:pPr>
  </w:style>
  <w:style w:type="character" w:customStyle="1" w:styleId="FooterChar">
    <w:name w:val="Footer Char"/>
    <w:basedOn w:val="DefaultParagraphFont"/>
    <w:link w:val="Footer"/>
    <w:uiPriority w:val="99"/>
    <w:rsid w:val="00BB32D5"/>
  </w:style>
  <w:style w:type="table" w:styleId="TableGrid">
    <w:name w:val="Table Grid"/>
    <w:basedOn w:val="TableNormal"/>
    <w:uiPriority w:val="39"/>
    <w:rsid w:val="00BB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0-kindergarten/lessons/cluster-7/c7nbt1-on-and-off-the-ten-frame.docx" TargetMode="External"/><Relationship Id="rId13" Type="http://schemas.openxmlformats.org/officeDocument/2006/relationships/hyperlink" Target="http://tools4ncteachers.com/kindergarten-cluster-7/"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tools4ncteachers.com/resources/0-kindergarten/lessons/cluster-7/c7nbt1-building-teen-numbers.docx" TargetMode="External"/><Relationship Id="rId12" Type="http://schemas.openxmlformats.org/officeDocument/2006/relationships/hyperlink" Target="https://tools4ncteachers.com/resources/district-leaders/documents/c7-addies-tower-oa4.docx" TargetMode="External"/><Relationship Id="rId17" Type="http://schemas.openxmlformats.org/officeDocument/2006/relationships/hyperlink" Target="http://tools4ncteachers.com/kindergarten-cluster-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ools4ncteachers.com/kindergarten-cluster-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4ncteachers.com/resources/district-leaders/documents/Cluster7MathCenters.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ools4ncteachers.com/resources/0-kindergarten/lessons/cluster-7/c7oa5-race-to-5.docx" TargetMode="External"/><Relationship Id="rId23" Type="http://schemas.openxmlformats.org/officeDocument/2006/relationships/footer" Target="footer2.xml"/><Relationship Id="rId10" Type="http://schemas.openxmlformats.org/officeDocument/2006/relationships/hyperlink" Target="https://tools4ncteachers.com/resources/0-kindergarten/tasks/cluster-7/c7nbt1-counting-apples.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ols4ncteachers.com/resources/0-kindergarten/lessons/cluster-7/c7nbt1-ring-around-the-tens.docx" TargetMode="External"/><Relationship Id="rId14" Type="http://schemas.openxmlformats.org/officeDocument/2006/relationships/hyperlink" Target="http://tools4ncteachers.com/kindergarten-cluster-7/"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2</cp:revision>
  <dcterms:created xsi:type="dcterms:W3CDTF">2018-12-31T11:12:00Z</dcterms:created>
  <dcterms:modified xsi:type="dcterms:W3CDTF">2018-12-31T11:15:00Z</dcterms:modified>
</cp:coreProperties>
</file>