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3712DB" w14:paraId="2459A364" w14:textId="77777777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6B2DEE69" w14:textId="77777777" w:rsidR="003712DB" w:rsidRDefault="000C632E" w:rsidP="001E0D14">
            <w:pPr>
              <w:widowControl w:val="0"/>
              <w:tabs>
                <w:tab w:val="left" w:pos="4640"/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NC.K.CC.1 &amp; NC.K.CC.2</w:t>
            </w:r>
          </w:p>
          <w:p w14:paraId="589D447F" w14:textId="6930E3D5" w:rsidR="003712DB" w:rsidRDefault="000C632E" w:rsidP="00174466">
            <w:pPr>
              <w:widowControl w:val="0"/>
              <w:tabs>
                <w:tab w:val="left" w:pos="4640"/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74466">
              <w:rPr>
                <w:b/>
                <w:sz w:val="28"/>
                <w:szCs w:val="28"/>
              </w:rPr>
              <w:t xml:space="preserve">ounting Sequence &amp; Counting On (within </w:t>
            </w:r>
            <w:r>
              <w:rPr>
                <w:b/>
                <w:sz w:val="28"/>
                <w:szCs w:val="28"/>
              </w:rPr>
              <w:t xml:space="preserve">20) </w:t>
            </w:r>
          </w:p>
        </w:tc>
      </w:tr>
      <w:tr w:rsidR="003712DB" w14:paraId="2C828DC8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F258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6EA97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and Cardinality</w:t>
            </w:r>
          </w:p>
        </w:tc>
      </w:tr>
      <w:tr w:rsidR="003712DB" w14:paraId="34D2294F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ECDA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2DB4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number names and the count sequence.</w:t>
            </w:r>
          </w:p>
        </w:tc>
      </w:tr>
      <w:tr w:rsidR="003712DB" w14:paraId="393539EE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A25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B476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 w:rsidRPr="00DF76BD">
              <w:rPr>
                <w:b/>
                <w:sz w:val="24"/>
                <w:szCs w:val="24"/>
              </w:rPr>
              <w:t>NC.K.CC.1</w:t>
            </w:r>
            <w:r w:rsidR="00DF76B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 number names and recognize patterns in the counting sequence by:</w:t>
            </w:r>
          </w:p>
          <w:p w14:paraId="48D6F8FF" w14:textId="77777777" w:rsidR="00AF4ED9" w:rsidRDefault="000C632E" w:rsidP="00C006D1">
            <w:pPr>
              <w:pStyle w:val="ListParagraph"/>
              <w:widowControl w:val="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F4ED9">
              <w:rPr>
                <w:sz w:val="24"/>
                <w:szCs w:val="24"/>
              </w:rPr>
              <w:t xml:space="preserve">Counting to </w:t>
            </w:r>
            <w:r w:rsidRPr="00AF4ED9">
              <w:rPr>
                <w:strike/>
                <w:sz w:val="24"/>
                <w:szCs w:val="24"/>
              </w:rPr>
              <w:t xml:space="preserve">100 </w:t>
            </w:r>
            <w:r w:rsidRPr="00AF4ED9">
              <w:rPr>
                <w:b/>
                <w:sz w:val="24"/>
                <w:szCs w:val="24"/>
              </w:rPr>
              <w:t>20</w:t>
            </w:r>
            <w:r w:rsidRPr="00AF4ED9">
              <w:rPr>
                <w:sz w:val="24"/>
                <w:szCs w:val="24"/>
              </w:rPr>
              <w:t xml:space="preserve"> by ones. (focus on counting by ones to 20) </w:t>
            </w:r>
          </w:p>
          <w:p w14:paraId="7A1B1837" w14:textId="77777777" w:rsidR="003712DB" w:rsidRPr="00AF4ED9" w:rsidRDefault="000C632E" w:rsidP="00C006D1">
            <w:pPr>
              <w:pStyle w:val="ListParagraph"/>
              <w:widowControl w:val="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F4ED9">
              <w:rPr>
                <w:strike/>
                <w:sz w:val="24"/>
                <w:szCs w:val="24"/>
              </w:rPr>
              <w:t>Counting to 100 by tens.</w:t>
            </w:r>
          </w:p>
          <w:p w14:paraId="7C7CDE0D" w14:textId="77777777" w:rsidR="00CE0A62" w:rsidRDefault="00CE0A62" w:rsidP="001E0D14">
            <w:pPr>
              <w:widowControl w:val="0"/>
              <w:rPr>
                <w:b/>
                <w:sz w:val="24"/>
                <w:szCs w:val="24"/>
              </w:rPr>
            </w:pPr>
          </w:p>
          <w:p w14:paraId="5D5FA476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 w:rsidRPr="00DF76BD">
              <w:rPr>
                <w:b/>
                <w:sz w:val="24"/>
                <w:szCs w:val="24"/>
              </w:rPr>
              <w:t>NC.K.CC.2</w:t>
            </w:r>
            <w:r>
              <w:rPr>
                <w:sz w:val="24"/>
                <w:szCs w:val="24"/>
              </w:rPr>
              <w:t xml:space="preserve"> Count forward beginning from a given number within the known sequence, instead of having to begin at 1.</w:t>
            </w:r>
          </w:p>
        </w:tc>
      </w:tr>
      <w:tr w:rsidR="003712DB" w14:paraId="1E156237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2AFD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958" w14:textId="77777777" w:rsidR="003712DB" w:rsidRDefault="00DF76BD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C632E">
              <w:rPr>
                <w:sz w:val="24"/>
                <w:szCs w:val="24"/>
              </w:rPr>
              <w:t>one</w:t>
            </w:r>
          </w:p>
        </w:tc>
      </w:tr>
      <w:tr w:rsidR="003712DB" w14:paraId="10FBA22A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AB60" w14:textId="77777777" w:rsidR="003712DB" w:rsidRDefault="000C632E" w:rsidP="001E0D1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Overview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C6216" w14:textId="15CBB809" w:rsidR="003712DB" w:rsidRDefault="00AF4ED9" w:rsidP="007D26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task </w:t>
            </w:r>
            <w:r w:rsidR="000C632E">
              <w:rPr>
                <w:sz w:val="24"/>
                <w:szCs w:val="24"/>
              </w:rPr>
              <w:t>assess</w:t>
            </w:r>
            <w:r>
              <w:rPr>
                <w:sz w:val="24"/>
                <w:szCs w:val="24"/>
              </w:rPr>
              <w:t>es</w:t>
            </w:r>
            <w:r w:rsidR="000C632E">
              <w:rPr>
                <w:sz w:val="24"/>
                <w:szCs w:val="24"/>
              </w:rPr>
              <w:t xml:space="preserve"> the counting sequence and counting forward to 20.  The assessment should be conducted one on one</w:t>
            </w:r>
            <w:r>
              <w:rPr>
                <w:sz w:val="24"/>
                <w:szCs w:val="24"/>
              </w:rPr>
              <w:t>,</w:t>
            </w:r>
            <w:r w:rsidR="000C632E">
              <w:rPr>
                <w:sz w:val="24"/>
                <w:szCs w:val="24"/>
              </w:rPr>
              <w:t xml:space="preserve"> but could be administered i</w:t>
            </w:r>
            <w:r w:rsidR="007D2657">
              <w:rPr>
                <w:sz w:val="24"/>
                <w:szCs w:val="24"/>
              </w:rPr>
              <w:t>nformally throughout the day. (</w:t>
            </w:r>
            <w:r w:rsidR="000C632E">
              <w:rPr>
                <w:sz w:val="24"/>
                <w:szCs w:val="24"/>
              </w:rPr>
              <w:t>e</w:t>
            </w:r>
            <w:r w:rsidR="007D2657">
              <w:rPr>
                <w:sz w:val="24"/>
                <w:szCs w:val="24"/>
              </w:rPr>
              <w:t xml:space="preserve">.g., </w:t>
            </w:r>
            <w:r w:rsidR="000C632E">
              <w:rPr>
                <w:sz w:val="24"/>
                <w:szCs w:val="24"/>
              </w:rPr>
              <w:t xml:space="preserve">walking to </w:t>
            </w:r>
            <w:proofErr w:type="spellStart"/>
            <w:r w:rsidR="000C632E">
              <w:rPr>
                <w:sz w:val="24"/>
                <w:szCs w:val="24"/>
              </w:rPr>
              <w:t>to</w:t>
            </w:r>
            <w:proofErr w:type="spellEnd"/>
            <w:r w:rsidR="000C632E">
              <w:rPr>
                <w:sz w:val="24"/>
                <w:szCs w:val="24"/>
              </w:rPr>
              <w:t xml:space="preserve"> lunch, at the water fountain etc.) </w:t>
            </w:r>
          </w:p>
        </w:tc>
      </w:tr>
      <w:tr w:rsidR="003712DB" w14:paraId="071B1A05" w14:textId="77777777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88D344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1D9F69" w14:textId="77777777" w:rsidR="00CE0A62" w:rsidRDefault="000C632E" w:rsidP="00C006D1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Say: </w:t>
            </w:r>
            <w:r>
              <w:rPr>
                <w:i/>
                <w:sz w:val="24"/>
                <w:szCs w:val="24"/>
              </w:rPr>
              <w:t>Start at 1 and count as far as you can</w:t>
            </w:r>
            <w:r>
              <w:rPr>
                <w:sz w:val="24"/>
                <w:szCs w:val="24"/>
              </w:rPr>
              <w:t xml:space="preserve"> </w:t>
            </w:r>
          </w:p>
          <w:p w14:paraId="57795277" w14:textId="77777777" w:rsidR="003712DB" w:rsidRDefault="00CE0A62" w:rsidP="001E0D14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</w:t>
            </w:r>
            <w:r w:rsidR="000C632E">
              <w:rPr>
                <w:sz w:val="24"/>
                <w:szCs w:val="24"/>
              </w:rPr>
              <w:t>llow students to count until they begin to make errors OR stop student after 100</w:t>
            </w:r>
            <w:r>
              <w:rPr>
                <w:sz w:val="24"/>
                <w:szCs w:val="24"/>
              </w:rPr>
              <w:t>.</w:t>
            </w:r>
            <w:r w:rsidR="000C632E">
              <w:rPr>
                <w:sz w:val="24"/>
                <w:szCs w:val="24"/>
              </w:rPr>
              <w:t xml:space="preserve">) </w:t>
            </w:r>
          </w:p>
          <w:p w14:paraId="645D7878" w14:textId="77777777" w:rsidR="00CE0A62" w:rsidRPr="00151CF5" w:rsidRDefault="00CE0A62" w:rsidP="001E0D14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16"/>
                <w:szCs w:val="16"/>
              </w:rPr>
            </w:pPr>
          </w:p>
          <w:p w14:paraId="70E37A3E" w14:textId="77777777" w:rsidR="00CE0A62" w:rsidRDefault="000C632E" w:rsidP="00C006D1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Say: </w:t>
            </w:r>
            <w:r>
              <w:rPr>
                <w:i/>
                <w:sz w:val="24"/>
                <w:szCs w:val="24"/>
              </w:rPr>
              <w:t>Begin counting with the number 3.  I’ll tell you when to stop.</w:t>
            </w:r>
            <w:r>
              <w:rPr>
                <w:sz w:val="24"/>
                <w:szCs w:val="24"/>
              </w:rPr>
              <w:t xml:space="preserve"> </w:t>
            </w:r>
          </w:p>
          <w:p w14:paraId="61D596E1" w14:textId="77777777" w:rsidR="003712DB" w:rsidRDefault="000C632E" w:rsidP="001E0D14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(Stop student at 9</w:t>
            </w:r>
            <w:r w:rsidR="00CE0A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14:paraId="5A0A2767" w14:textId="77777777" w:rsidR="00CE0A62" w:rsidRPr="00151CF5" w:rsidRDefault="00CE0A62" w:rsidP="001E0D14">
            <w:pPr>
              <w:widowControl w:val="0"/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2968950" w14:textId="77777777" w:rsidR="003712DB" w:rsidRDefault="00CE0A62" w:rsidP="001E0D14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632E">
              <w:rPr>
                <w:sz w:val="24"/>
                <w:szCs w:val="24"/>
              </w:rPr>
              <w:t>Repeat:</w:t>
            </w:r>
          </w:p>
          <w:p w14:paraId="741E954E" w14:textId="77777777" w:rsidR="00CE0A62" w:rsidRDefault="000C632E" w:rsidP="00C006D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CE0A62">
              <w:rPr>
                <w:sz w:val="24"/>
                <w:szCs w:val="24"/>
              </w:rPr>
              <w:t xml:space="preserve">Begin at 6.  Stop student at 13.    </w:t>
            </w:r>
          </w:p>
          <w:p w14:paraId="5452C9F8" w14:textId="77777777" w:rsidR="003712DB" w:rsidRPr="00CE0A62" w:rsidRDefault="000C632E" w:rsidP="00C006D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CE0A62">
              <w:rPr>
                <w:sz w:val="24"/>
                <w:szCs w:val="24"/>
              </w:rPr>
              <w:t xml:space="preserve">Begin at 11.  Stop student at 20.    </w:t>
            </w:r>
          </w:p>
        </w:tc>
      </w:tr>
    </w:tbl>
    <w:p w14:paraId="35C1ED03" w14:textId="77777777" w:rsidR="003712DB" w:rsidRDefault="003712DB" w:rsidP="001E0D14">
      <w:pPr>
        <w:widowControl w:val="0"/>
        <w:rPr>
          <w:sz w:val="24"/>
          <w:szCs w:val="24"/>
        </w:rPr>
      </w:pPr>
    </w:p>
    <w:tbl>
      <w:tblPr>
        <w:tblStyle w:val="a0"/>
        <w:tblW w:w="1086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045"/>
      </w:tblGrid>
      <w:tr w:rsidR="003712DB" w14:paraId="19A38E80" w14:textId="77777777">
        <w:tc>
          <w:tcPr>
            <w:tcW w:w="108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6BAE5298" w14:textId="77777777" w:rsidR="003712DB" w:rsidRDefault="000C632E" w:rsidP="001E0D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Continuum of Understanding</w:t>
            </w:r>
          </w:p>
        </w:tc>
      </w:tr>
      <w:tr w:rsidR="003712DB" w14:paraId="0B5F3ACE" w14:textId="77777777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92F3" w14:textId="53BA458B" w:rsidR="003712DB" w:rsidRDefault="000C632E" w:rsidP="001E0D1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  <w:r w:rsidR="007D265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7D2657">
              <w:rPr>
                <w:b/>
                <w:sz w:val="24"/>
                <w:szCs w:val="24"/>
              </w:rPr>
              <w:t>Proficient</w:t>
            </w:r>
            <w:bookmarkEnd w:id="0"/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54F0" w14:textId="77777777" w:rsidR="003712DB" w:rsidRDefault="000C632E" w:rsidP="00C006D1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know number names for counting sequence to 20 </w:t>
            </w:r>
          </w:p>
        </w:tc>
      </w:tr>
      <w:tr w:rsidR="003712DB" w14:paraId="7D07170B" w14:textId="77777777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AC7A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4A3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Omits or repeats numbers in the counting sequence.</w:t>
            </w:r>
          </w:p>
          <w:p w14:paraId="6FE6B5C4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by ones, but not to 20</w:t>
            </w:r>
          </w:p>
          <w:p w14:paraId="00D8176B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Incorrectly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begins counting forward from one or more given numbers.</w:t>
            </w:r>
          </w:p>
        </w:tc>
      </w:tr>
      <w:tr w:rsidR="003712DB" w14:paraId="23DF2200" w14:textId="77777777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386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ABB" w14:textId="77777777" w:rsidR="003712DB" w:rsidRDefault="000C632E" w:rsidP="00C006D1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to 20 by ones without error.</w:t>
            </w:r>
          </w:p>
          <w:p w14:paraId="3072A39D" w14:textId="77777777" w:rsidR="003712DB" w:rsidRDefault="000C632E" w:rsidP="00C006D1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forward from all given numbers.</w:t>
            </w:r>
          </w:p>
          <w:p w14:paraId="38FB830B" w14:textId="77777777" w:rsidR="003712DB" w:rsidRDefault="000C632E" w:rsidP="00C006D1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correctly through the teen numbers. </w:t>
            </w:r>
          </w:p>
        </w:tc>
      </w:tr>
    </w:tbl>
    <w:p w14:paraId="42282E25" w14:textId="77777777" w:rsidR="003712DB" w:rsidRDefault="003712DB" w:rsidP="001E0D14">
      <w:pPr>
        <w:widowControl w:val="0"/>
        <w:rPr>
          <w:sz w:val="18"/>
          <w:szCs w:val="18"/>
        </w:rPr>
      </w:pPr>
    </w:p>
    <w:tbl>
      <w:tblPr>
        <w:tblStyle w:val="a1"/>
        <w:tblW w:w="10893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3712DB" w14:paraId="192C8BFF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A7F1A9C" w14:textId="77777777" w:rsidR="003712DB" w:rsidRDefault="000C632E" w:rsidP="001E0D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3712DB" w14:paraId="66A2322E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5D036763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Makes sense and perseveres in solving problems.</w:t>
            </w:r>
          </w:p>
        </w:tc>
      </w:tr>
      <w:tr w:rsidR="003712DB" w14:paraId="0468BC82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776BFA28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3712DB" w14:paraId="483E6DE0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411470F6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3712DB" w14:paraId="010B86C3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1E0A026B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3712DB" w14:paraId="7DD7C3CE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323D89AF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3712DB" w14:paraId="143F366F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597FBB3F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3712DB" w14:paraId="28C2FEBA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5817EBEE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3712DB" w14:paraId="78C7414F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5BB2E34F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2EEDD539" w14:textId="0E6676A6" w:rsidR="003712DB" w:rsidRDefault="003712DB" w:rsidP="001E0D14">
      <w:pPr>
        <w:widowControl w:val="0"/>
        <w:rPr>
          <w:sz w:val="22"/>
          <w:szCs w:val="22"/>
        </w:rPr>
      </w:pPr>
    </w:p>
    <w:sectPr w:rsidR="003712DB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BDE7" w14:textId="77777777" w:rsidR="00B27EAD" w:rsidRDefault="00B27EAD">
      <w:r>
        <w:separator/>
      </w:r>
    </w:p>
  </w:endnote>
  <w:endnote w:type="continuationSeparator" w:id="0">
    <w:p w14:paraId="21F51DB0" w14:textId="77777777" w:rsidR="00B27EAD" w:rsidRDefault="00B2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05A9" w14:textId="77777777" w:rsidR="00F471DF" w:rsidRDefault="00F471DF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</w:pPr>
  </w:p>
  <w:p w14:paraId="7102B531" w14:textId="77777777" w:rsidR="00F471DF" w:rsidRDefault="00F471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720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5E0C" w14:textId="77777777" w:rsidR="00B27EAD" w:rsidRDefault="00B27EAD">
      <w:r>
        <w:separator/>
      </w:r>
    </w:p>
  </w:footnote>
  <w:footnote w:type="continuationSeparator" w:id="0">
    <w:p w14:paraId="59D1F288" w14:textId="77777777" w:rsidR="00B27EAD" w:rsidRDefault="00B2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463B" w14:textId="77777777" w:rsidR="00F471DF" w:rsidRPr="000C632E" w:rsidRDefault="00F471DF">
    <w:pPr>
      <w:jc w:val="center"/>
      <w:rPr>
        <w:b/>
        <w:sz w:val="56"/>
        <w:szCs w:val="56"/>
      </w:rPr>
    </w:pPr>
  </w:p>
  <w:p w14:paraId="0F0F47D0" w14:textId="77777777" w:rsidR="00F471DF" w:rsidRDefault="00F471DF">
    <w:pPr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14:paraId="5842AC23" w14:textId="77777777" w:rsidR="00F471DF" w:rsidRDefault="00F471DF">
    <w:pPr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E99"/>
    <w:multiLevelType w:val="hybridMultilevel"/>
    <w:tmpl w:val="B1C0B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CF8"/>
    <w:multiLevelType w:val="hybridMultilevel"/>
    <w:tmpl w:val="3534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7C9E"/>
    <w:multiLevelType w:val="multilevel"/>
    <w:tmpl w:val="8960A806"/>
    <w:lvl w:ilvl="0"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2B04852"/>
    <w:multiLevelType w:val="multilevel"/>
    <w:tmpl w:val="711CB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1B1C6C"/>
    <w:multiLevelType w:val="multilevel"/>
    <w:tmpl w:val="3BF81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608076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6" w15:restartNumberingAfterBreak="0">
    <w:nsid w:val="0E230404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7" w15:restartNumberingAfterBreak="0">
    <w:nsid w:val="0E423D05"/>
    <w:multiLevelType w:val="hybridMultilevel"/>
    <w:tmpl w:val="33E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1383"/>
    <w:multiLevelType w:val="multilevel"/>
    <w:tmpl w:val="53265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82CF9"/>
    <w:multiLevelType w:val="hybridMultilevel"/>
    <w:tmpl w:val="1A1C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F4018F"/>
    <w:multiLevelType w:val="multilevel"/>
    <w:tmpl w:val="F8E637F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14564F09"/>
    <w:multiLevelType w:val="multilevel"/>
    <w:tmpl w:val="AE823E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18AD53BC"/>
    <w:multiLevelType w:val="multilevel"/>
    <w:tmpl w:val="93E0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3" w15:restartNumberingAfterBreak="0">
    <w:nsid w:val="19660696"/>
    <w:multiLevelType w:val="multilevel"/>
    <w:tmpl w:val="CB7AA0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25AA3091"/>
    <w:multiLevelType w:val="hybridMultilevel"/>
    <w:tmpl w:val="C33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B92"/>
    <w:multiLevelType w:val="hybridMultilevel"/>
    <w:tmpl w:val="3056A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1466A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17" w15:restartNumberingAfterBreak="0">
    <w:nsid w:val="2B0A6AE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18" w15:restartNumberingAfterBreak="0">
    <w:nsid w:val="2C1B41FA"/>
    <w:multiLevelType w:val="hybridMultilevel"/>
    <w:tmpl w:val="B5F4C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E001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0" w15:restartNumberingAfterBreak="0">
    <w:nsid w:val="329C3A07"/>
    <w:multiLevelType w:val="hybridMultilevel"/>
    <w:tmpl w:val="95F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B5A0B"/>
    <w:multiLevelType w:val="multilevel"/>
    <w:tmpl w:val="0962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2" w15:restartNumberingAfterBreak="0">
    <w:nsid w:val="34C8181B"/>
    <w:multiLevelType w:val="hybridMultilevel"/>
    <w:tmpl w:val="F8A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80917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4" w15:restartNumberingAfterBreak="0">
    <w:nsid w:val="39AA7FE1"/>
    <w:multiLevelType w:val="multilevel"/>
    <w:tmpl w:val="AA4E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5" w15:restartNumberingAfterBreak="0">
    <w:nsid w:val="3B724BF2"/>
    <w:multiLevelType w:val="hybridMultilevel"/>
    <w:tmpl w:val="A48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11B71"/>
    <w:multiLevelType w:val="hybridMultilevel"/>
    <w:tmpl w:val="05C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75DCA"/>
    <w:multiLevelType w:val="multilevel"/>
    <w:tmpl w:val="D1AAF5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4662584F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9" w15:restartNumberingAfterBreak="0">
    <w:nsid w:val="4AB95A65"/>
    <w:multiLevelType w:val="multilevel"/>
    <w:tmpl w:val="8960A806"/>
    <w:lvl w:ilvl="0"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4CE07156"/>
    <w:multiLevelType w:val="multilevel"/>
    <w:tmpl w:val="8F4245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1B01299"/>
    <w:multiLevelType w:val="hybridMultilevel"/>
    <w:tmpl w:val="3CC00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5B2E75"/>
    <w:multiLevelType w:val="multilevel"/>
    <w:tmpl w:val="FAEAA1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53CE5554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34" w15:restartNumberingAfterBreak="0">
    <w:nsid w:val="5A110066"/>
    <w:multiLevelType w:val="multilevel"/>
    <w:tmpl w:val="D91E0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BA17870"/>
    <w:multiLevelType w:val="hybridMultilevel"/>
    <w:tmpl w:val="408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E1E36"/>
    <w:multiLevelType w:val="multilevel"/>
    <w:tmpl w:val="7FCAD1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0F6080C"/>
    <w:multiLevelType w:val="multilevel"/>
    <w:tmpl w:val="5934AF4A"/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643F1EEB"/>
    <w:multiLevelType w:val="hybridMultilevel"/>
    <w:tmpl w:val="B5A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5171A"/>
    <w:multiLevelType w:val="multilevel"/>
    <w:tmpl w:val="01964B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69967D63"/>
    <w:multiLevelType w:val="hybridMultilevel"/>
    <w:tmpl w:val="12A6D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D3921"/>
    <w:multiLevelType w:val="multilevel"/>
    <w:tmpl w:val="A66615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0C03E9D"/>
    <w:multiLevelType w:val="multilevel"/>
    <w:tmpl w:val="A4721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3" w15:restartNumberingAfterBreak="0">
    <w:nsid w:val="72E17B70"/>
    <w:multiLevelType w:val="multilevel"/>
    <w:tmpl w:val="A7C6C0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 w15:restartNumberingAfterBreak="0">
    <w:nsid w:val="74147419"/>
    <w:multiLevelType w:val="hybridMultilevel"/>
    <w:tmpl w:val="55D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E2A91"/>
    <w:multiLevelType w:val="multilevel"/>
    <w:tmpl w:val="54F0E6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8A5228B"/>
    <w:multiLevelType w:val="hybridMultilevel"/>
    <w:tmpl w:val="E31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315F0"/>
    <w:multiLevelType w:val="multilevel"/>
    <w:tmpl w:val="4DCAB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8" w15:restartNumberingAfterBreak="0">
    <w:nsid w:val="7B2923EE"/>
    <w:multiLevelType w:val="multilevel"/>
    <w:tmpl w:val="49629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C1C061A"/>
    <w:multiLevelType w:val="multilevel"/>
    <w:tmpl w:val="7A4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0" w15:restartNumberingAfterBreak="0">
    <w:nsid w:val="7ED17E35"/>
    <w:multiLevelType w:val="multilevel"/>
    <w:tmpl w:val="3B360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5"/>
  </w:num>
  <w:num w:numId="2">
    <w:abstractNumId w:val="41"/>
  </w:num>
  <w:num w:numId="3">
    <w:abstractNumId w:val="11"/>
  </w:num>
  <w:num w:numId="4">
    <w:abstractNumId w:val="39"/>
  </w:num>
  <w:num w:numId="5">
    <w:abstractNumId w:val="30"/>
  </w:num>
  <w:num w:numId="6">
    <w:abstractNumId w:val="8"/>
  </w:num>
  <w:num w:numId="7">
    <w:abstractNumId w:val="50"/>
  </w:num>
  <w:num w:numId="8">
    <w:abstractNumId w:val="43"/>
  </w:num>
  <w:num w:numId="9">
    <w:abstractNumId w:val="10"/>
  </w:num>
  <w:num w:numId="10">
    <w:abstractNumId w:val="32"/>
  </w:num>
  <w:num w:numId="11">
    <w:abstractNumId w:val="48"/>
  </w:num>
  <w:num w:numId="12">
    <w:abstractNumId w:val="27"/>
  </w:num>
  <w:num w:numId="13">
    <w:abstractNumId w:val="37"/>
  </w:num>
  <w:num w:numId="14">
    <w:abstractNumId w:val="3"/>
  </w:num>
  <w:num w:numId="15">
    <w:abstractNumId w:val="13"/>
  </w:num>
  <w:num w:numId="16">
    <w:abstractNumId w:val="36"/>
  </w:num>
  <w:num w:numId="17">
    <w:abstractNumId w:val="34"/>
  </w:num>
  <w:num w:numId="18">
    <w:abstractNumId w:val="4"/>
  </w:num>
  <w:num w:numId="19">
    <w:abstractNumId w:val="0"/>
  </w:num>
  <w:num w:numId="20">
    <w:abstractNumId w:val="9"/>
  </w:num>
  <w:num w:numId="21">
    <w:abstractNumId w:val="31"/>
  </w:num>
  <w:num w:numId="22">
    <w:abstractNumId w:val="15"/>
  </w:num>
  <w:num w:numId="23">
    <w:abstractNumId w:val="7"/>
  </w:num>
  <w:num w:numId="24">
    <w:abstractNumId w:val="40"/>
  </w:num>
  <w:num w:numId="25">
    <w:abstractNumId w:val="18"/>
  </w:num>
  <w:num w:numId="26">
    <w:abstractNumId w:val="1"/>
  </w:num>
  <w:num w:numId="27">
    <w:abstractNumId w:val="24"/>
  </w:num>
  <w:num w:numId="28">
    <w:abstractNumId w:val="22"/>
  </w:num>
  <w:num w:numId="29">
    <w:abstractNumId w:val="46"/>
  </w:num>
  <w:num w:numId="30">
    <w:abstractNumId w:val="25"/>
  </w:num>
  <w:num w:numId="31">
    <w:abstractNumId w:val="14"/>
  </w:num>
  <w:num w:numId="32">
    <w:abstractNumId w:val="47"/>
  </w:num>
  <w:num w:numId="33">
    <w:abstractNumId w:val="35"/>
  </w:num>
  <w:num w:numId="34">
    <w:abstractNumId w:val="38"/>
  </w:num>
  <w:num w:numId="35">
    <w:abstractNumId w:val="44"/>
  </w:num>
  <w:num w:numId="36">
    <w:abstractNumId w:val="26"/>
  </w:num>
  <w:num w:numId="37">
    <w:abstractNumId w:val="20"/>
  </w:num>
  <w:num w:numId="38">
    <w:abstractNumId w:val="2"/>
  </w:num>
  <w:num w:numId="39">
    <w:abstractNumId w:val="29"/>
  </w:num>
  <w:num w:numId="40">
    <w:abstractNumId w:val="42"/>
  </w:num>
  <w:num w:numId="41">
    <w:abstractNumId w:val="33"/>
  </w:num>
  <w:num w:numId="42">
    <w:abstractNumId w:val="17"/>
  </w:num>
  <w:num w:numId="43">
    <w:abstractNumId w:val="23"/>
  </w:num>
  <w:num w:numId="44">
    <w:abstractNumId w:val="5"/>
  </w:num>
  <w:num w:numId="45">
    <w:abstractNumId w:val="12"/>
  </w:num>
  <w:num w:numId="46">
    <w:abstractNumId w:val="19"/>
  </w:num>
  <w:num w:numId="47">
    <w:abstractNumId w:val="28"/>
  </w:num>
  <w:num w:numId="48">
    <w:abstractNumId w:val="6"/>
  </w:num>
  <w:num w:numId="49">
    <w:abstractNumId w:val="21"/>
  </w:num>
  <w:num w:numId="50">
    <w:abstractNumId w:val="49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B"/>
    <w:rsid w:val="000C632E"/>
    <w:rsid w:val="00151CF5"/>
    <w:rsid w:val="001576FE"/>
    <w:rsid w:val="001613CD"/>
    <w:rsid w:val="00174466"/>
    <w:rsid w:val="001E0D14"/>
    <w:rsid w:val="003603B1"/>
    <w:rsid w:val="003712DB"/>
    <w:rsid w:val="0042212D"/>
    <w:rsid w:val="004443D1"/>
    <w:rsid w:val="007D2657"/>
    <w:rsid w:val="009709BD"/>
    <w:rsid w:val="00AF4ED9"/>
    <w:rsid w:val="00B27EAD"/>
    <w:rsid w:val="00C006D1"/>
    <w:rsid w:val="00C6658F"/>
    <w:rsid w:val="00CE0A62"/>
    <w:rsid w:val="00D725C1"/>
    <w:rsid w:val="00D8510B"/>
    <w:rsid w:val="00DF76BD"/>
    <w:rsid w:val="00F471DF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3018"/>
  <w15:docId w15:val="{A854242F-0F94-4AFF-AC81-2E56315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2E"/>
  </w:style>
  <w:style w:type="paragraph" w:styleId="Footer">
    <w:name w:val="footer"/>
    <w:basedOn w:val="Normal"/>
    <w:link w:val="FooterChar"/>
    <w:uiPriority w:val="99"/>
    <w:unhideWhenUsed/>
    <w:rsid w:val="000C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2E"/>
  </w:style>
  <w:style w:type="paragraph" w:styleId="ListParagraph">
    <w:name w:val="List Paragraph"/>
    <w:basedOn w:val="Normal"/>
    <w:uiPriority w:val="34"/>
    <w:qFormat/>
    <w:rsid w:val="000C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2018-03-02T20:25:00Z</dcterms:created>
  <dcterms:modified xsi:type="dcterms:W3CDTF">2018-05-17T19:26:00Z</dcterms:modified>
</cp:coreProperties>
</file>