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110"/>
        <w:gridCol w:w="8600"/>
      </w:tblGrid>
      <w:tr w:rsidR="00971A7C" w:rsidTr="00684580"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173" w:rsidRDefault="00971A7C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75173">
              <w:rPr>
                <w:b/>
                <w:sz w:val="28"/>
                <w:szCs w:val="28"/>
              </w:rPr>
              <w:t>NC.4.NBT.1</w:t>
            </w:r>
          </w:p>
          <w:p w:rsidR="00971A7C" w:rsidRDefault="00971A7C" w:rsidP="00B75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Coin Collection</w:t>
            </w:r>
          </w:p>
        </w:tc>
      </w:tr>
      <w:tr w:rsidR="00971A7C" w:rsidTr="00684580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684580" w:rsidRDefault="00971A7C" w:rsidP="007F7221">
            <w:pPr>
              <w:rPr>
                <w:sz w:val="24"/>
                <w:szCs w:val="24"/>
              </w:rPr>
            </w:pPr>
            <w:r w:rsidRPr="00684580">
              <w:rPr>
                <w:sz w:val="24"/>
                <w:szCs w:val="24"/>
              </w:rPr>
              <w:t>Number and Operations in Base Ten</w:t>
            </w:r>
          </w:p>
        </w:tc>
      </w:tr>
      <w:tr w:rsidR="00971A7C" w:rsidTr="00684580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684580" w:rsidRDefault="00971A7C" w:rsidP="007F7221">
            <w:pPr>
              <w:rPr>
                <w:sz w:val="24"/>
                <w:szCs w:val="24"/>
              </w:rPr>
            </w:pPr>
            <w:r w:rsidRPr="00684580">
              <w:rPr>
                <w:sz w:val="24"/>
                <w:szCs w:val="24"/>
              </w:rPr>
              <w:t xml:space="preserve">Generalize place value understanding for multi-digit whole numbers. </w:t>
            </w:r>
          </w:p>
        </w:tc>
      </w:tr>
      <w:tr w:rsidR="00971A7C" w:rsidTr="00684580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  <w:p w:rsidR="00971A7C" w:rsidRDefault="00971A7C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6845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NC.4.NBT.1</w:t>
            </w:r>
            <w:r>
              <w:rPr>
                <w:sz w:val="24"/>
                <w:szCs w:val="24"/>
              </w:rPr>
              <w:t xml:space="preserve"> </w:t>
            </w:r>
            <w:r w:rsidR="00684580">
              <w:rPr>
                <w:sz w:val="24"/>
                <w:szCs w:val="24"/>
              </w:rPr>
              <w:t xml:space="preserve">Explain that in a </w:t>
            </w:r>
            <w:r>
              <w:rPr>
                <w:sz w:val="24"/>
                <w:szCs w:val="24"/>
              </w:rPr>
              <w:t>multi-digit whole number, a digit in one place represents</w:t>
            </w:r>
            <w:r w:rsidR="00684580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times </w:t>
            </w:r>
            <w:r w:rsidR="00684580">
              <w:rPr>
                <w:sz w:val="24"/>
                <w:szCs w:val="24"/>
              </w:rPr>
              <w:t xml:space="preserve">as much as </w:t>
            </w:r>
            <w:r>
              <w:rPr>
                <w:sz w:val="24"/>
                <w:szCs w:val="24"/>
              </w:rPr>
              <w:t>it repre</w:t>
            </w:r>
            <w:r w:rsidR="00684580">
              <w:rPr>
                <w:sz w:val="24"/>
                <w:szCs w:val="24"/>
              </w:rPr>
              <w:t>sents in the place to its right, up to 100,000.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1A7C" w:rsidTr="00684580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68458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71A7C">
              <w:rPr>
                <w:sz w:val="24"/>
                <w:szCs w:val="24"/>
              </w:rPr>
              <w:t>aper and pencil</w:t>
            </w:r>
            <w:r w:rsidR="00144EFA">
              <w:rPr>
                <w:sz w:val="24"/>
                <w:szCs w:val="24"/>
              </w:rPr>
              <w:t>, activity sheet</w:t>
            </w:r>
          </w:p>
        </w:tc>
      </w:tr>
      <w:tr w:rsidR="00971A7C" w:rsidTr="00684580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173" w:rsidRDefault="00B75173" w:rsidP="00B75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Coin Collection</w:t>
            </w:r>
          </w:p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1:</w:t>
            </w:r>
          </w:p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a collection of 826 coins.</w:t>
            </w:r>
          </w:p>
          <w:p w:rsidR="00971A7C" w:rsidRDefault="00971A7C" w:rsidP="00971A7C">
            <w:pPr>
              <w:widowControl w:val="0"/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coins are pennies, what would be the value of your collection? </w:t>
            </w:r>
          </w:p>
          <w:p w:rsidR="00971A7C" w:rsidRDefault="00971A7C" w:rsidP="00971A7C">
            <w:pPr>
              <w:widowControl w:val="0"/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coins are dimes, what would be the value of your collection?</w:t>
            </w:r>
          </w:p>
          <w:p w:rsidR="00971A7C" w:rsidRDefault="00971A7C" w:rsidP="00971A7C">
            <w:pPr>
              <w:widowControl w:val="0"/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they were dollars instead of coins, what would be the value of your collection?  </w:t>
            </w:r>
          </w:p>
          <w:p w:rsidR="00971A7C" w:rsidRDefault="00971A7C" w:rsidP="00971A7C">
            <w:pPr>
              <w:widowControl w:val="0"/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they were ten dollar bills</w:t>
            </w:r>
            <w:r w:rsidR="006845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what would be the value of your collection?</w:t>
            </w:r>
          </w:p>
          <w:p w:rsidR="00971A7C" w:rsidRPr="00C042BC" w:rsidRDefault="00971A7C" w:rsidP="007F7221">
            <w:pPr>
              <w:rPr>
                <w:sz w:val="12"/>
                <w:szCs w:val="12"/>
              </w:rPr>
            </w:pPr>
          </w:p>
          <w:p w:rsidR="00971A7C" w:rsidRPr="00684580" w:rsidRDefault="00971A7C" w:rsidP="007F7221">
            <w:pPr>
              <w:rPr>
                <w:b/>
                <w:sz w:val="24"/>
                <w:szCs w:val="24"/>
              </w:rPr>
            </w:pPr>
            <w:r w:rsidRPr="00684580">
              <w:rPr>
                <w:b/>
                <w:sz w:val="24"/>
                <w:szCs w:val="24"/>
              </w:rPr>
              <w:t xml:space="preserve">Part 2: </w:t>
            </w:r>
          </w:p>
          <w:p w:rsidR="00971A7C" w:rsidRDefault="00971A7C" w:rsidP="006845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four values that you wrote for Part 1. </w:t>
            </w:r>
          </w:p>
          <w:p w:rsidR="00971A7C" w:rsidRDefault="00971A7C" w:rsidP="00971A7C">
            <w:pPr>
              <w:widowControl w:val="0"/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notice about the value of your collections? </w:t>
            </w:r>
          </w:p>
          <w:p w:rsidR="00971A7C" w:rsidRDefault="00971A7C" w:rsidP="00971A7C">
            <w:pPr>
              <w:widowControl w:val="0"/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pattern do you notice about the value of your collections? </w:t>
            </w:r>
          </w:p>
          <w:p w:rsidR="00971A7C" w:rsidRDefault="00971A7C" w:rsidP="00971A7C">
            <w:pPr>
              <w:widowControl w:val="0"/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your thinking in words, pictures, or numbers. </w:t>
            </w:r>
          </w:p>
          <w:p w:rsidR="00162C40" w:rsidRPr="00B75173" w:rsidRDefault="00162C40" w:rsidP="00162C40">
            <w:pPr>
              <w:widowControl w:val="0"/>
              <w:rPr>
                <w:sz w:val="16"/>
                <w:szCs w:val="24"/>
              </w:rPr>
            </w:pPr>
          </w:p>
          <w:p w:rsidR="00162C40" w:rsidRPr="00162C40" w:rsidRDefault="00162C40" w:rsidP="00162C40">
            <w:pPr>
              <w:widowControl w:val="0"/>
              <w:rPr>
                <w:i/>
                <w:sz w:val="24"/>
                <w:szCs w:val="24"/>
              </w:rPr>
            </w:pPr>
            <w:r w:rsidRPr="00162C40">
              <w:rPr>
                <w:i/>
                <w:sz w:val="24"/>
                <w:szCs w:val="24"/>
              </w:rPr>
              <w:t>Solutions presented in rubric below.</w:t>
            </w:r>
          </w:p>
        </w:tc>
      </w:tr>
    </w:tbl>
    <w:p w:rsidR="00971A7C" w:rsidRPr="00144EFA" w:rsidRDefault="00971A7C" w:rsidP="00971A7C">
      <w:pPr>
        <w:widowControl w:val="0"/>
        <w:rPr>
          <w:sz w:val="16"/>
          <w:szCs w:val="24"/>
        </w:rPr>
      </w:pPr>
    </w:p>
    <w:tbl>
      <w:tblPr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3060"/>
        <w:gridCol w:w="3870"/>
      </w:tblGrid>
      <w:tr w:rsidR="00860977" w:rsidTr="00860977">
        <w:trPr>
          <w:trHeight w:val="228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977" w:rsidRDefault="00860977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860977" w:rsidTr="00D34AAA">
        <w:trPr>
          <w:trHeight w:val="351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0977" w:rsidRDefault="00860977" w:rsidP="007F72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977" w:rsidRDefault="00860977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860977" w:rsidRDefault="00860977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977" w:rsidRDefault="00860977" w:rsidP="0068458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860977" w:rsidRDefault="00860977" w:rsidP="0068458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0977" w:rsidRDefault="00860977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860977" w:rsidRDefault="00860977" w:rsidP="00B75173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B75173">
              <w:rPr>
                <w:b/>
                <w:sz w:val="24"/>
                <w:szCs w:val="24"/>
              </w:rPr>
              <w:t>Expectation</w:t>
            </w:r>
          </w:p>
        </w:tc>
      </w:tr>
      <w:tr w:rsidR="00860977" w:rsidTr="00860977">
        <w:trPr>
          <w:trHeight w:val="8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0977" w:rsidRDefault="00860977" w:rsidP="008609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0977" w:rsidRDefault="00860977" w:rsidP="006845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</w:t>
            </w:r>
            <w:r w:rsidR="00C042BC">
              <w:rPr>
                <w:sz w:val="24"/>
                <w:szCs w:val="24"/>
              </w:rPr>
              <w:t>rectly identifies values for 0-1</w:t>
            </w:r>
            <w:r>
              <w:rPr>
                <w:sz w:val="24"/>
                <w:szCs w:val="24"/>
              </w:rPr>
              <w:t xml:space="preserve"> coins.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0977" w:rsidRDefault="00860977" w:rsidP="00684580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</w:t>
            </w:r>
            <w:r w:rsidR="00C042BC">
              <w:rPr>
                <w:sz w:val="24"/>
                <w:szCs w:val="24"/>
              </w:rPr>
              <w:t>rectly identifies values for 2-3</w:t>
            </w:r>
            <w:r>
              <w:rPr>
                <w:sz w:val="24"/>
                <w:szCs w:val="24"/>
              </w:rPr>
              <w:t xml:space="preserve"> coins.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0977" w:rsidRDefault="00860977" w:rsidP="006845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correctly identifies values for each coin.</w:t>
            </w:r>
          </w:p>
          <w:p w:rsidR="00860977" w:rsidRDefault="00860977" w:rsidP="00860977">
            <w:pPr>
              <w:ind w:left="3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in pennies:  $8.26 </w:t>
            </w:r>
          </w:p>
          <w:p w:rsidR="00860977" w:rsidRDefault="00860977" w:rsidP="00860977">
            <w:pPr>
              <w:ind w:left="3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in dimes:  $82.60</w:t>
            </w:r>
          </w:p>
          <w:p w:rsidR="00860977" w:rsidRDefault="00860977" w:rsidP="00860977">
            <w:p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in dollars:  $826.00</w:t>
            </w:r>
          </w:p>
          <w:p w:rsidR="00860977" w:rsidRDefault="00860977" w:rsidP="00860977">
            <w:p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in ten dollars:  $8,260.00</w:t>
            </w:r>
          </w:p>
        </w:tc>
      </w:tr>
      <w:tr w:rsidR="00860977" w:rsidTr="00860977">
        <w:trPr>
          <w:trHeight w:val="89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977" w:rsidRDefault="00860977" w:rsidP="008609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977" w:rsidRDefault="00860977" w:rsidP="006845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Explanation does not show consistent understanding of place value patterns.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977" w:rsidRDefault="00860977" w:rsidP="00684580">
            <w:pPr>
              <w:widowControl w:val="0"/>
              <w:tabs>
                <w:tab w:val="left" w:pos="7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shows a developing understanding of place value patterns.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60977" w:rsidRDefault="00860977" w:rsidP="00971A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demonstrates conceptual understanding of place value patterns.</w:t>
            </w:r>
          </w:p>
          <w:p w:rsidR="00162C40" w:rsidRDefault="00162C40" w:rsidP="00971A7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971A7C" w:rsidRPr="00144EFA" w:rsidRDefault="00971A7C" w:rsidP="00971A7C">
      <w:pPr>
        <w:widowControl w:val="0"/>
        <w:rPr>
          <w:sz w:val="16"/>
          <w:szCs w:val="24"/>
        </w:rPr>
      </w:pPr>
    </w:p>
    <w:tbl>
      <w:tblPr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860977" w:rsidRDefault="00971A7C" w:rsidP="007F7221">
            <w:pPr>
              <w:rPr>
                <w:b/>
                <w:sz w:val="24"/>
                <w:szCs w:val="24"/>
              </w:rPr>
            </w:pPr>
            <w:r w:rsidRPr="00860977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860977" w:rsidRDefault="00971A7C" w:rsidP="007F7221">
            <w:pPr>
              <w:rPr>
                <w:b/>
                <w:sz w:val="24"/>
                <w:szCs w:val="24"/>
              </w:rPr>
            </w:pPr>
            <w:r w:rsidRPr="00860977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971A7C" w:rsidTr="00684580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860977" w:rsidRDefault="00971A7C" w:rsidP="007F7221">
            <w:pPr>
              <w:rPr>
                <w:b/>
                <w:sz w:val="24"/>
                <w:szCs w:val="24"/>
              </w:rPr>
            </w:pPr>
            <w:r w:rsidRPr="00860977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971A7C" w:rsidRDefault="00162C40" w:rsidP="00971A7C">
      <w:pPr>
        <w:widowControl w:val="0"/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52D5AB" wp14:editId="2CDBDD6F">
            <wp:simplePos x="0" y="0"/>
            <wp:positionH relativeFrom="column">
              <wp:posOffset>684340</wp:posOffset>
            </wp:positionH>
            <wp:positionV relativeFrom="paragraph">
              <wp:posOffset>-48260</wp:posOffset>
            </wp:positionV>
            <wp:extent cx="1456690" cy="6991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669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8BC6A" wp14:editId="67210918">
            <wp:simplePos x="0" y="0"/>
            <wp:positionH relativeFrom="column">
              <wp:posOffset>3823335</wp:posOffset>
            </wp:positionH>
            <wp:positionV relativeFrom="paragraph">
              <wp:posOffset>-46355</wp:posOffset>
            </wp:positionV>
            <wp:extent cx="1456690" cy="699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A7C">
        <w:rPr>
          <w:b/>
          <w:sz w:val="40"/>
          <w:szCs w:val="40"/>
        </w:rPr>
        <w:t>Coin Collection</w:t>
      </w:r>
    </w:p>
    <w:p w:rsidR="00162C40" w:rsidRDefault="00162C40" w:rsidP="00971A7C">
      <w:pPr>
        <w:widowControl w:val="0"/>
        <w:rPr>
          <w:b/>
          <w:sz w:val="32"/>
          <w:szCs w:val="32"/>
        </w:rPr>
      </w:pPr>
    </w:p>
    <w:p w:rsidR="00971A7C" w:rsidRDefault="00971A7C" w:rsidP="00971A7C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>Part 1:</w:t>
      </w:r>
    </w:p>
    <w:p w:rsidR="00971A7C" w:rsidRDefault="00971A7C" w:rsidP="00971A7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You have a collection of 826 coins.</w:t>
      </w:r>
    </w:p>
    <w:p w:rsidR="00971A7C" w:rsidRDefault="00971A7C" w:rsidP="00162C40">
      <w:pPr>
        <w:widowControl w:val="0"/>
        <w:numPr>
          <w:ilvl w:val="0"/>
          <w:numId w:val="6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If the coins are pennies, </w:t>
      </w:r>
      <w:r w:rsidR="00162C40">
        <w:rPr>
          <w:sz w:val="32"/>
          <w:szCs w:val="32"/>
        </w:rPr>
        <w:t xml:space="preserve">what would be the value of your </w:t>
      </w:r>
      <w:r>
        <w:rPr>
          <w:sz w:val="32"/>
          <w:szCs w:val="32"/>
        </w:rPr>
        <w:t xml:space="preserve">collection? </w:t>
      </w: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numPr>
          <w:ilvl w:val="0"/>
          <w:numId w:val="6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If the coins are dimes, what would be the value of your collection?</w:t>
      </w:r>
    </w:p>
    <w:p w:rsidR="00971A7C" w:rsidRDefault="00971A7C" w:rsidP="00162C40">
      <w:pPr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numPr>
          <w:ilvl w:val="0"/>
          <w:numId w:val="6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If they were dollars instead of coins, what would be the value of your collection?  </w:t>
      </w: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numPr>
          <w:ilvl w:val="0"/>
          <w:numId w:val="6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If they were ten dollar bills what would be the value of your collection?</w:t>
      </w:r>
    </w:p>
    <w:p w:rsidR="00971A7C" w:rsidRDefault="00971A7C" w:rsidP="00971A7C">
      <w:pPr>
        <w:widowControl w:val="0"/>
        <w:rPr>
          <w:sz w:val="32"/>
          <w:szCs w:val="32"/>
        </w:rPr>
      </w:pPr>
    </w:p>
    <w:p w:rsidR="00971A7C" w:rsidRDefault="00971A7C" w:rsidP="00971A7C">
      <w:pPr>
        <w:widowControl w:val="0"/>
        <w:rPr>
          <w:sz w:val="32"/>
          <w:szCs w:val="32"/>
        </w:rPr>
      </w:pPr>
    </w:p>
    <w:p w:rsidR="00162C40" w:rsidRDefault="00162C40" w:rsidP="00971A7C">
      <w:pPr>
        <w:widowControl w:val="0"/>
        <w:rPr>
          <w:sz w:val="32"/>
          <w:szCs w:val="32"/>
        </w:rPr>
      </w:pPr>
    </w:p>
    <w:p w:rsidR="00971A7C" w:rsidRPr="00162C40" w:rsidRDefault="00971A7C" w:rsidP="00971A7C">
      <w:pPr>
        <w:widowControl w:val="0"/>
        <w:rPr>
          <w:b/>
          <w:sz w:val="32"/>
          <w:szCs w:val="32"/>
        </w:rPr>
      </w:pPr>
      <w:r w:rsidRPr="00162C40">
        <w:rPr>
          <w:b/>
          <w:sz w:val="32"/>
          <w:szCs w:val="32"/>
        </w:rPr>
        <w:t xml:space="preserve">Part 2: </w:t>
      </w:r>
    </w:p>
    <w:p w:rsidR="00971A7C" w:rsidRDefault="00971A7C" w:rsidP="00971A7C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Look at the four values that you wrote for Part 1. </w:t>
      </w:r>
    </w:p>
    <w:p w:rsidR="00971A7C" w:rsidRDefault="00971A7C" w:rsidP="00162C40">
      <w:pPr>
        <w:widowControl w:val="0"/>
        <w:numPr>
          <w:ilvl w:val="0"/>
          <w:numId w:val="4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What do you notice about the value of your collections? </w:t>
      </w: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162C40" w:rsidRDefault="00162C40" w:rsidP="00162C40">
      <w:pPr>
        <w:widowControl w:val="0"/>
        <w:ind w:left="540" w:hanging="270"/>
        <w:rPr>
          <w:sz w:val="32"/>
          <w:szCs w:val="32"/>
        </w:rPr>
      </w:pPr>
    </w:p>
    <w:p w:rsidR="00162C40" w:rsidRDefault="00162C40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numPr>
          <w:ilvl w:val="0"/>
          <w:numId w:val="4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What pattern do you notice about the value of your collections? </w:t>
      </w: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ind w:left="540" w:hanging="270"/>
        <w:rPr>
          <w:sz w:val="32"/>
          <w:szCs w:val="32"/>
        </w:rPr>
      </w:pPr>
    </w:p>
    <w:p w:rsidR="00162C40" w:rsidRDefault="00162C40" w:rsidP="00162C40">
      <w:pPr>
        <w:widowControl w:val="0"/>
        <w:ind w:left="540" w:hanging="270"/>
        <w:rPr>
          <w:sz w:val="32"/>
          <w:szCs w:val="32"/>
        </w:rPr>
      </w:pPr>
    </w:p>
    <w:p w:rsidR="00162C40" w:rsidRDefault="00162C40" w:rsidP="00162C40">
      <w:pPr>
        <w:widowControl w:val="0"/>
        <w:ind w:left="540" w:hanging="270"/>
        <w:rPr>
          <w:sz w:val="32"/>
          <w:szCs w:val="32"/>
        </w:rPr>
      </w:pPr>
    </w:p>
    <w:p w:rsidR="00971A7C" w:rsidRDefault="00971A7C" w:rsidP="00162C40">
      <w:pPr>
        <w:widowControl w:val="0"/>
        <w:numPr>
          <w:ilvl w:val="0"/>
          <w:numId w:val="4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Explain your thinking in words, pictures, or numbers.</w:t>
      </w:r>
    </w:p>
    <w:p w:rsidR="00C026C9" w:rsidRDefault="00C026C9"/>
    <w:p w:rsidR="007D5210" w:rsidRDefault="007D5210"/>
    <w:p w:rsidR="007D5210" w:rsidRDefault="007D5210"/>
    <w:p w:rsidR="007D5210" w:rsidRDefault="007D5210"/>
    <w:p w:rsidR="007D5210" w:rsidRDefault="007D5210" w:rsidP="007D52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1D6F26" w:rsidRDefault="001D6F26" w:rsidP="001D6F26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t>Part 1</w:t>
      </w:r>
    </w:p>
    <w:p w:rsidR="007D5210" w:rsidRPr="001D6F26" w:rsidRDefault="007D5210" w:rsidP="007D5210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1D6F26">
        <w:rPr>
          <w:sz w:val="24"/>
          <w:szCs w:val="24"/>
        </w:rPr>
        <w:t xml:space="preserve"> </w:t>
      </w:r>
      <w:r w:rsidR="00B75173">
        <w:rPr>
          <w:sz w:val="24"/>
          <w:szCs w:val="24"/>
        </w:rPr>
        <w:t xml:space="preserve"> </w:t>
      </w:r>
      <w:r w:rsidR="001D6F26">
        <w:rPr>
          <w:sz w:val="24"/>
          <w:szCs w:val="24"/>
        </w:rPr>
        <w:t>The student identified the value for one coin.</w:t>
      </w:r>
    </w:p>
    <w:p w:rsidR="007D5210" w:rsidRDefault="001D6F26" w:rsidP="007D521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F15310C" wp14:editId="6B0793B7">
            <wp:extent cx="5070181" cy="3795823"/>
            <wp:effectExtent l="19050" t="19050" r="1651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1186"/>
                    <a:stretch/>
                  </pic:blipFill>
                  <pic:spPr bwMode="auto">
                    <a:xfrm>
                      <a:off x="0" y="0"/>
                      <a:ext cx="5075338" cy="37996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173" w:rsidRDefault="00B75173" w:rsidP="007D5210">
      <w:pPr>
        <w:rPr>
          <w:b/>
          <w:sz w:val="24"/>
          <w:szCs w:val="24"/>
        </w:rPr>
      </w:pPr>
    </w:p>
    <w:p w:rsidR="00B75173" w:rsidRDefault="00B75173" w:rsidP="007D5210">
      <w:pPr>
        <w:rPr>
          <w:b/>
          <w:sz w:val="24"/>
          <w:szCs w:val="24"/>
        </w:rPr>
      </w:pPr>
    </w:p>
    <w:p w:rsidR="007D5210" w:rsidRPr="00E93BB9" w:rsidRDefault="007D5210" w:rsidP="007D5210">
      <w:pPr>
        <w:rPr>
          <w:sz w:val="24"/>
          <w:szCs w:val="24"/>
        </w:rPr>
      </w:pPr>
      <w:r>
        <w:rPr>
          <w:b/>
          <w:sz w:val="24"/>
          <w:szCs w:val="24"/>
        </w:rPr>
        <w:t>Progressing:</w:t>
      </w:r>
      <w:r w:rsidR="00E93BB9">
        <w:rPr>
          <w:sz w:val="24"/>
          <w:szCs w:val="24"/>
        </w:rPr>
        <w:t xml:space="preserve"> </w:t>
      </w:r>
      <w:r w:rsidR="00B75173">
        <w:rPr>
          <w:sz w:val="24"/>
          <w:szCs w:val="24"/>
        </w:rPr>
        <w:t xml:space="preserve"> </w:t>
      </w:r>
      <w:r w:rsidR="00E93BB9">
        <w:rPr>
          <w:sz w:val="24"/>
          <w:szCs w:val="24"/>
        </w:rPr>
        <w:t xml:space="preserve">The student found the value for </w:t>
      </w:r>
      <w:r w:rsidR="00647521">
        <w:rPr>
          <w:sz w:val="24"/>
          <w:szCs w:val="24"/>
        </w:rPr>
        <w:t xml:space="preserve">three coins.  </w:t>
      </w:r>
    </w:p>
    <w:p w:rsidR="001D6F26" w:rsidRDefault="00647521" w:rsidP="007D521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B422E5" wp14:editId="11D98F93">
            <wp:extent cx="4965405" cy="2967572"/>
            <wp:effectExtent l="19050" t="19050" r="26035" b="234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686" cy="296833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7521" w:rsidRDefault="00647521" w:rsidP="001D6F26">
      <w:pPr>
        <w:tabs>
          <w:tab w:val="left" w:pos="3114"/>
        </w:tabs>
        <w:rPr>
          <w:b/>
          <w:sz w:val="24"/>
          <w:szCs w:val="24"/>
        </w:rPr>
      </w:pPr>
    </w:p>
    <w:p w:rsidR="00647521" w:rsidRDefault="00647521" w:rsidP="001D6F26">
      <w:pPr>
        <w:tabs>
          <w:tab w:val="left" w:pos="3114"/>
        </w:tabs>
        <w:rPr>
          <w:b/>
          <w:sz w:val="24"/>
          <w:szCs w:val="24"/>
        </w:rPr>
      </w:pPr>
    </w:p>
    <w:p w:rsidR="007D5210" w:rsidRDefault="007D5210" w:rsidP="001D6F26">
      <w:pPr>
        <w:tabs>
          <w:tab w:val="left" w:pos="3114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Meets Expectation:</w:t>
      </w:r>
      <w:r w:rsidR="001D6F26">
        <w:rPr>
          <w:sz w:val="24"/>
          <w:szCs w:val="24"/>
        </w:rPr>
        <w:t xml:space="preserve"> </w:t>
      </w:r>
      <w:r w:rsidR="00B75173">
        <w:rPr>
          <w:sz w:val="24"/>
          <w:szCs w:val="24"/>
        </w:rPr>
        <w:t xml:space="preserve"> </w:t>
      </w:r>
      <w:r w:rsidR="001D6F26">
        <w:rPr>
          <w:sz w:val="24"/>
          <w:szCs w:val="24"/>
        </w:rPr>
        <w:t>The student identified correct values for each coin.</w:t>
      </w:r>
      <w:proofErr w:type="gramEnd"/>
      <w:r w:rsidR="001D6F26">
        <w:rPr>
          <w:b/>
          <w:sz w:val="24"/>
          <w:szCs w:val="24"/>
        </w:rPr>
        <w:tab/>
      </w:r>
    </w:p>
    <w:p w:rsidR="001D6F26" w:rsidRDefault="001D6F26" w:rsidP="001D6F26">
      <w:pPr>
        <w:tabs>
          <w:tab w:val="left" w:pos="3114"/>
        </w:tabs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2CFA42F" wp14:editId="22DA958A">
            <wp:extent cx="5715546" cy="3062177"/>
            <wp:effectExtent l="19050" t="19050" r="19050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55197"/>
                    <a:stretch/>
                  </pic:blipFill>
                  <pic:spPr bwMode="auto">
                    <a:xfrm>
                      <a:off x="0" y="0"/>
                      <a:ext cx="5724218" cy="306682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210" w:rsidRDefault="007D5210"/>
    <w:p w:rsidR="001D6F26" w:rsidRDefault="001D6F26"/>
    <w:p w:rsidR="001D6F26" w:rsidRDefault="001D6F26" w:rsidP="001D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2</w:t>
      </w:r>
    </w:p>
    <w:p w:rsidR="00647521" w:rsidRPr="00647521" w:rsidRDefault="00647521" w:rsidP="00647521">
      <w:pPr>
        <w:rPr>
          <w:sz w:val="24"/>
          <w:szCs w:val="32"/>
        </w:rPr>
      </w:pPr>
      <w:r>
        <w:rPr>
          <w:b/>
          <w:sz w:val="24"/>
          <w:szCs w:val="32"/>
        </w:rPr>
        <w:t>Not Yet:</w:t>
      </w:r>
      <w:r>
        <w:rPr>
          <w:sz w:val="24"/>
          <w:szCs w:val="32"/>
        </w:rPr>
        <w:t xml:space="preserve"> </w:t>
      </w:r>
      <w:r w:rsidR="00B75173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The student does not demonstrate an understanding of place value patterns and </w:t>
      </w:r>
      <w:r w:rsidR="00D90837">
        <w:rPr>
          <w:sz w:val="24"/>
          <w:szCs w:val="32"/>
        </w:rPr>
        <w:t>does not consider the value of each coin when describing their relative size (</w:t>
      </w:r>
      <w:r>
        <w:rPr>
          <w:sz w:val="24"/>
          <w:szCs w:val="32"/>
        </w:rPr>
        <w:t>“the biggest in value goes first”</w:t>
      </w:r>
      <w:r w:rsidR="00D90837">
        <w:rPr>
          <w:sz w:val="24"/>
          <w:szCs w:val="32"/>
        </w:rPr>
        <w:t>).</w:t>
      </w:r>
    </w:p>
    <w:p w:rsidR="00647521" w:rsidRDefault="00647521" w:rsidP="00647521">
      <w:pPr>
        <w:rPr>
          <w:b/>
          <w:sz w:val="24"/>
          <w:szCs w:val="32"/>
        </w:rPr>
      </w:pPr>
      <w:r>
        <w:rPr>
          <w:noProof/>
        </w:rPr>
        <w:drawing>
          <wp:inline distT="0" distB="0" distL="0" distR="0" wp14:anchorId="454E202A" wp14:editId="6134BF53">
            <wp:extent cx="5805377" cy="2922567"/>
            <wp:effectExtent l="19050" t="19050" r="2413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510"/>
                    <a:stretch/>
                  </pic:blipFill>
                  <pic:spPr bwMode="auto">
                    <a:xfrm>
                      <a:off x="0" y="0"/>
                      <a:ext cx="5809209" cy="29244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521" w:rsidRDefault="00647521" w:rsidP="00647521">
      <w:pPr>
        <w:rPr>
          <w:b/>
          <w:sz w:val="24"/>
          <w:szCs w:val="32"/>
        </w:rPr>
      </w:pPr>
    </w:p>
    <w:p w:rsidR="00B75173" w:rsidRDefault="00B75173" w:rsidP="00647521">
      <w:pPr>
        <w:rPr>
          <w:b/>
          <w:sz w:val="24"/>
          <w:szCs w:val="32"/>
        </w:rPr>
      </w:pPr>
    </w:p>
    <w:p w:rsidR="00D90837" w:rsidRDefault="00D90837" w:rsidP="00647521">
      <w:pPr>
        <w:rPr>
          <w:b/>
          <w:sz w:val="24"/>
          <w:szCs w:val="32"/>
        </w:rPr>
      </w:pPr>
    </w:p>
    <w:p w:rsidR="00647521" w:rsidRPr="00647521" w:rsidRDefault="00647521" w:rsidP="00647521">
      <w:pPr>
        <w:rPr>
          <w:sz w:val="24"/>
          <w:szCs w:val="32"/>
        </w:rPr>
      </w:pPr>
      <w:r>
        <w:rPr>
          <w:b/>
          <w:sz w:val="24"/>
          <w:szCs w:val="32"/>
        </w:rPr>
        <w:lastRenderedPageBreak/>
        <w:t>Progressing:</w:t>
      </w:r>
      <w:r>
        <w:rPr>
          <w:sz w:val="24"/>
          <w:szCs w:val="32"/>
        </w:rPr>
        <w:t xml:space="preserve"> The student shows a developing understanding of place value patterns.  The student can describe the patterns, but does not explain why those patterns exist.</w:t>
      </w:r>
    </w:p>
    <w:p w:rsidR="00647521" w:rsidRDefault="00647521" w:rsidP="00647521">
      <w:pPr>
        <w:rPr>
          <w:b/>
          <w:sz w:val="24"/>
          <w:szCs w:val="32"/>
        </w:rPr>
      </w:pPr>
      <w:r>
        <w:rPr>
          <w:noProof/>
        </w:rPr>
        <w:drawing>
          <wp:inline distT="0" distB="0" distL="0" distR="0" wp14:anchorId="7FA62BA7" wp14:editId="1672CC48">
            <wp:extent cx="5667375" cy="252412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5241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75173" w:rsidRDefault="00B75173" w:rsidP="00647521">
      <w:pPr>
        <w:rPr>
          <w:b/>
          <w:sz w:val="24"/>
          <w:szCs w:val="32"/>
        </w:rPr>
      </w:pPr>
    </w:p>
    <w:p w:rsidR="00B75173" w:rsidRDefault="00B75173" w:rsidP="00647521">
      <w:pPr>
        <w:rPr>
          <w:b/>
          <w:sz w:val="24"/>
          <w:szCs w:val="32"/>
        </w:rPr>
      </w:pPr>
    </w:p>
    <w:p w:rsidR="00647521" w:rsidRPr="00647521" w:rsidRDefault="00647521" w:rsidP="00647521">
      <w:pPr>
        <w:rPr>
          <w:sz w:val="24"/>
          <w:szCs w:val="32"/>
        </w:rPr>
      </w:pPr>
      <w:proofErr w:type="gramStart"/>
      <w:r>
        <w:rPr>
          <w:b/>
          <w:sz w:val="24"/>
          <w:szCs w:val="32"/>
        </w:rPr>
        <w:t>Meets Expectation:</w:t>
      </w:r>
      <w:r>
        <w:rPr>
          <w:sz w:val="24"/>
          <w:szCs w:val="32"/>
        </w:rPr>
        <w:t xml:space="preserve"> </w:t>
      </w:r>
      <w:r w:rsidR="00B75173">
        <w:rPr>
          <w:sz w:val="24"/>
          <w:szCs w:val="32"/>
        </w:rPr>
        <w:t xml:space="preserve"> The student demonstrates</w:t>
      </w:r>
      <w:r>
        <w:rPr>
          <w:sz w:val="24"/>
          <w:szCs w:val="32"/>
        </w:rPr>
        <w:t xml:space="preserve"> a conceptual understanding of place value patterns by describing the relationship between ones and pennies, tens and dimes, and hundreds and dollars.</w:t>
      </w:r>
      <w:proofErr w:type="gramEnd"/>
    </w:p>
    <w:p w:rsidR="00647521" w:rsidRPr="00647521" w:rsidRDefault="00647521" w:rsidP="00647521">
      <w:pPr>
        <w:rPr>
          <w:b/>
          <w:sz w:val="24"/>
          <w:szCs w:val="32"/>
        </w:rPr>
      </w:pPr>
      <w:r>
        <w:rPr>
          <w:noProof/>
        </w:rPr>
        <w:drawing>
          <wp:inline distT="0" distB="0" distL="0" distR="0" wp14:anchorId="4F2A315A" wp14:editId="3BBB19CF">
            <wp:extent cx="5567205" cy="3615069"/>
            <wp:effectExtent l="19050" t="19050" r="14605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6169" cy="36143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7521" w:rsidRPr="00647521" w:rsidRDefault="00647521" w:rsidP="00647521">
      <w:pPr>
        <w:rPr>
          <w:b/>
          <w:sz w:val="28"/>
          <w:szCs w:val="32"/>
        </w:rPr>
      </w:pPr>
    </w:p>
    <w:p w:rsidR="001D6F26" w:rsidRDefault="001D6F26" w:rsidP="001D6F26">
      <w:pPr>
        <w:jc w:val="center"/>
        <w:rPr>
          <w:b/>
          <w:sz w:val="32"/>
          <w:szCs w:val="32"/>
        </w:rPr>
      </w:pPr>
    </w:p>
    <w:p w:rsidR="001D6F26" w:rsidRDefault="001D6F26" w:rsidP="001D6F26">
      <w:pPr>
        <w:jc w:val="center"/>
        <w:rPr>
          <w:b/>
          <w:color w:val="auto"/>
          <w:sz w:val="32"/>
          <w:szCs w:val="32"/>
        </w:rPr>
      </w:pPr>
      <w:bookmarkStart w:id="0" w:name="_GoBack"/>
      <w:bookmarkEnd w:id="0"/>
    </w:p>
    <w:sectPr w:rsidR="001D6F26" w:rsidSect="00B75173">
      <w:headerReference w:type="default" r:id="rId16"/>
      <w:footerReference w:type="default" r:id="rId17"/>
      <w:pgSz w:w="12240" w:h="15840"/>
      <w:pgMar w:top="1440" w:right="1440" w:bottom="1440" w:left="1440" w:header="0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24" w:rsidRDefault="00502724" w:rsidP="00971A7C">
      <w:r>
        <w:separator/>
      </w:r>
    </w:p>
  </w:endnote>
  <w:endnote w:type="continuationSeparator" w:id="0">
    <w:p w:rsidR="00502724" w:rsidRDefault="00502724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B75173" w:rsidRDefault="00B75173" w:rsidP="00B75173">
    <w:pPr>
      <w:pStyle w:val="Footer"/>
      <w:tabs>
        <w:tab w:val="clear" w:pos="9360"/>
        <w:tab w:val="right" w:pos="10080"/>
      </w:tabs>
      <w:ind w:left="-630" w:right="-720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99F62" wp14:editId="25746C83">
              <wp:simplePos x="0" y="0"/>
              <wp:positionH relativeFrom="column">
                <wp:posOffset>-393405</wp:posOffset>
              </wp:positionH>
              <wp:positionV relativeFrom="paragraph">
                <wp:posOffset>-2525</wp:posOffset>
              </wp:positionV>
              <wp:extent cx="6783572" cy="0"/>
              <wp:effectExtent l="0" t="0" r="177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pt,-.2pt" to="50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" strokecolor="black [3040]"/>
          </w:pict>
        </mc:Fallback>
      </mc:AlternateContent>
    </w:r>
    <w:r w:rsidRPr="00B75173">
      <w:rPr>
        <w:b/>
        <w:sz w:val="18"/>
      </w:rPr>
      <w:t xml:space="preserve">NC DEPARTMENT OF PUBLIC INSTRUCTION   </w:t>
    </w:r>
    <w:r>
      <w:rPr>
        <w:b/>
        <w:sz w:val="18"/>
      </w:rPr>
      <w:t xml:space="preserve">                                                                                                                   </w:t>
    </w:r>
    <w:r w:rsidRPr="00B75173">
      <w:rPr>
        <w:b/>
        <w:sz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24" w:rsidRDefault="00502724" w:rsidP="00971A7C">
      <w:r>
        <w:separator/>
      </w:r>
    </w:p>
  </w:footnote>
  <w:footnote w:type="continuationSeparator" w:id="0">
    <w:p w:rsidR="00502724" w:rsidRDefault="00502724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5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144EFA"/>
    <w:rsid w:val="00162C40"/>
    <w:rsid w:val="001D6F26"/>
    <w:rsid w:val="00502724"/>
    <w:rsid w:val="00647521"/>
    <w:rsid w:val="00684580"/>
    <w:rsid w:val="007D5210"/>
    <w:rsid w:val="00860977"/>
    <w:rsid w:val="00971A7C"/>
    <w:rsid w:val="00B75173"/>
    <w:rsid w:val="00C026C9"/>
    <w:rsid w:val="00C042BC"/>
    <w:rsid w:val="00D34AAA"/>
    <w:rsid w:val="00D90837"/>
    <w:rsid w:val="00E311A1"/>
    <w:rsid w:val="00E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4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4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4</cp:revision>
  <dcterms:created xsi:type="dcterms:W3CDTF">2018-07-09T18:18:00Z</dcterms:created>
  <dcterms:modified xsi:type="dcterms:W3CDTF">2018-07-10T01:11:00Z</dcterms:modified>
</cp:coreProperties>
</file>